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Juniper - Mist AI Network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r>
        <w:rPr>
          <w:rFonts w:ascii="Calibri" w:hAnsi="Calibri"/>
          <w:b/>
          <w:sz w:val="24"/>
        </w:rPr>
        <w:t>Client:</w:t>
      </w:r>
      <w:r>
        <w:rPr>
          <w:rFonts w:ascii="Calibri" w:hAnsi="Calibri"/>
          <w:sz w:val="24"/>
        </w:rPr>
        <w:t xml:space="preserve"> [CLIENT_NAME]</w:t>
      </w:r>
    </w:p>
    <w:p>
      <w:r>
        <w:rPr>
          <w:rFonts w:ascii="Calibri" w:hAnsi="Calibri"/>
          <w:b/>
          <w:sz w:val="24"/>
        </w:rPr>
        <w:t>Project:</w:t>
      </w:r>
      <w:r>
        <w:rPr>
          <w:rFonts w:ascii="Calibri" w:hAnsi="Calibri"/>
          <w:sz w:val="24"/>
        </w:rPr>
        <w:t xml:space="preserve"> Juniper Mist AI Network Implementation</w:t>
      </w:r>
    </w:p>
    <w:p>
      <w:r>
        <w:rPr>
          <w:rFonts w:ascii="Calibri" w:hAnsi="Calibri"/>
          <w:b/>
          <w:sz w:val="24"/>
        </w:rPr>
        <w:t>SOW Number:</w:t>
      </w:r>
      <w:r>
        <w:rPr>
          <w:rFonts w:ascii="Calibri" w:hAnsi="Calibri"/>
          <w:sz w:val="24"/>
        </w:rPr>
        <w:t xml:space="preserve"> [SOW_NUMBER]</w:t>
      </w:r>
    </w:p>
    <w:p>
      <w:pPr>
        <w:pStyle w:val="Heading1"/>
        <w:spacing w:before="160" w:after="120"/>
        <w:ind w:left="0"/>
      </w:pPr>
      <w:r>
        <w:t>1 Executive Summary</w:t>
      </w:r>
    </w:p>
    <w:p>
      <w:pPr>
        <w:pStyle w:val="Heading2"/>
        <w:spacing w:before="240" w:after="120"/>
        <w:ind w:left="0"/>
      </w:pPr>
      <w:r>
        <w:t>1.1 Project Overview</w:t>
      </w:r>
    </w:p>
    <w:p>
      <w:r>
        <w:rPr>
          <w:rFonts w:ascii="Calibri" w:hAnsi="Calibri"/>
          <w:sz w:val="24"/>
        </w:rPr>
        <w:t>This Statement of Work (SOW) outlines the scope, deliverables, timeline, and terms for the implementation of Juniper Mist AI Network for [CLIENT_NAME]. The project will deliver AI-driven wireless network delivering 99.9% uptime and 90% troubleshooting time reduction through deployment of Juniper Mist cloud-managed WiFi 6E infrastructure with predictive analytics.</w:t>
      </w:r>
    </w:p>
    <w:p>
      <w:pPr>
        <w:pStyle w:val="Heading2"/>
        <w:spacing w:before="240" w:after="120"/>
        <w:ind w:left="0"/>
      </w:pPr>
      <w:r>
        <w:t>1.2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AI-powered wireless network with 50 WiFi 6E access points, Marvis virtual assistant, and location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99.9% wireless uptime with AI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wireless helpdesk tickets by 60% through Marvis AI self-service troubleshooting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Eliminate manual RF optimization with automated channel and power adjustment</w:t>
      </w:r>
    </w:p>
    <w:p>
      <w:pPr>
        <w:pStyle w:val="Heading2"/>
        <w:spacing w:before="240" w:after="120"/>
        <w:ind w:left="0"/>
      </w:pPr>
      <w:r>
        <w:t>1.3 Project Duration</w:t>
      </w:r>
    </w:p>
    <w:p>
      <w:r>
        <w:rPr>
          <w:rFonts w:ascii="Calibri" w:hAnsi="Calibri"/>
          <w:b/>
          <w:sz w:val="24"/>
        </w:rPr>
        <w:t>Total Duration:</w:t>
      </w:r>
      <w:r>
        <w:rPr>
          <w:rFonts w:ascii="Calibri" w:hAnsi="Calibri"/>
          <w:sz w:val="24"/>
        </w:rPr>
        <w:t xml:space="preserve"> 8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Current wireless infrastructure with poor WiFi coverage, manual troubleshooting, and no visibility into client experience.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Eliminate 90% of WiFi troubleshooting time with AI root cause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99.9% wireless uptime with proactive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location-based services with virtual Bluetooth LE for wayfinding and asset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wireless helpdesk tickets by 60% through AI-driven self-service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99.9% wireless uptime with AI-driven predictive maintenance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 reduction in wireless helpdesk tickets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 manual RF optimization with automated channel and power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client experience SLE tracking with measurable improvements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3"/>
        <w:spacing w:before="160" w:after="120"/>
        <w:ind w:left="0"/>
      </w:pPr>
      <w:r>
        <w:t>3.1 2.0 Engagement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WiFi 6E Access Points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Juniper AP45 APs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Wired Assurance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EX4400 PoE switches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SSIDs and VLANs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wireless networks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External System Integrations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integrations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Location Services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Indoor positioning enabled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Concurrent Wireless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500-1000 concurrent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Administrators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wireless administrators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Point Count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access points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Device Count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2000 total devices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Building Types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Office commercial building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Locations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Single building multi-floor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RF Environment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office construction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Methods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802.1X RADIUS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security SOC 2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Coverage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office coverage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Experience SLEs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99% successful connects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environments (staging prod)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3.1 In Scope</w:t>
      </w:r>
    </w:p>
    <w:p>
      <w:pPr>
        <w:pStyle w:val="Heading4"/>
        <w:spacing w:before="160" w:after="120"/>
        <w:ind w:left="0"/>
      </w:pPr>
      <w:r>
        <w:t>3.1.1 Discovery &amp; Planning Phase (Weeks 1-2)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Wireless requirements assessment analyzing current WiFi coverage and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Facility assessment reviewing building layouts and coverage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RF site survey using Mist AI planning tools for AP placement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WLAN architecture design with SSID strategy and VLAN segmentation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Location services design for vBLE indoor positioning and wayfinding</w:t>
      </w:r>
    </w:p>
    <w:p>
      <w:pPr>
        <w:pStyle w:val="Heading4"/>
        <w:spacing w:before="160" w:after="120"/>
        <w:ind w:left="0"/>
      </w:pPr>
      <w:r>
        <w:t>3.1.2 Implementation Phase (Weeks 3-6)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Switch infrastructure deployment with EX4400 PoE switches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Mist Cloud configuration with SSIDs, VLANs, and RF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AP installation deploying 50 Juniper AP45 WiFi 6E access 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Authentication integration with RADIUS or Active Directory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Marvis AI activation for AI-driven troubleshooting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Location services setup with vBLE and wayfinding maps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Wired Assurance configuration for unified management</w:t>
      </w:r>
    </w:p>
    <w:p>
      <w:pPr>
        <w:pStyle w:val="Heading4"/>
        <w:spacing w:before="160" w:after="120"/>
        <w:ind w:left="0"/>
      </w:pPr>
      <w:r>
        <w:t>3.1.3 Testing &amp; Validation Phase (Week 7)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RF validation testing with coverage and throughput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Client connectivity testing across all wireless networks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Location services testing for positioning accuracy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Performance testing with high-density client load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[x] User acceptance testing with IT and business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User acceptance testing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Bug fixes and issue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Go-live readiness assessment</w:t>
      </w:r>
    </w:p>
    <w:p>
      <w:pPr>
        <w:pStyle w:val="Heading4"/>
        <w:spacing w:before="160" w:after="120"/>
        <w:ind w:left="0"/>
      </w:pPr>
      <w:r>
        <w:t>3.1.4 2.1.4 Deployment &amp; Support Phase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Production deployment and cutover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Post-deployment monitoring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User training and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Project closure and handover</w:t>
      </w:r>
    </w:p>
    <w:p>
      <w:pPr>
        <w:pStyle w:val="Heading3"/>
        <w:spacing w:before="160" w:after="120"/>
        <w:ind w:left="0"/>
      </w:pPr>
      <w:r>
        <w:t>3.1.1 2.2 Out-of-Scope Activities</w:t>
      </w:r>
    </w:p>
    <w:p>
      <w:r>
        <w:rPr>
          <w:rFonts w:ascii="Calibri" w:hAnsi="Calibri"/>
          <w:sz w:val="24"/>
        </w:rPr>
        <w:t>The following activities are explicitly excluded from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Hardware procurement and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Third-party software licensing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infrastructure modifications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Legacy system decommissioning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Ongoing operational support beyond [SUPPORT_PERIOD]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Custom development beyond specified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Data cleansing or transformation of legacy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Training beyond initial knowledge transfer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p>
      <w:pPr>
        <w:pStyle w:val="Heading3"/>
        <w:spacing w:before="160" w:after="120"/>
        <w:ind w:left="0"/>
      </w:pPr>
      <w:r>
        <w:t>4.1.1 3.1 Documentation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Requirements Specification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Detailed functional and non-functional requirements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CSV/Excel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Solution Architecture Document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architecture and design specifications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PDF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Implementation Plan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Detailed project timeline and resource allocation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MS Project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Test Plan &amp; Results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strategy and execution results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PDF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User Training Materials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End-user guides and training documentation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PDF/Video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Operations Runbook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 administration and maintenance procedures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PDF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As-Built Documentation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Final system configuration and architecture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PDF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3"/>
        <w:spacing w:before="160" w:after="120"/>
        <w:ind w:left="0"/>
      </w:pPr>
      <w:r>
        <w:t>4.1.2 3.2 System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Criteria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Production Environment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Fully configured and operational system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Passes all acceptance tests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Integration Interfaces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data connections and APIs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Successful data flow validation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Security Configuration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Implemented security controls and policies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audit compliance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Monitoring Setup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monitoring and alerting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Functional dashboards and alerts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Backup &amp; Recovery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 backup and disaster recovery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Successful recovery test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3"/>
        <w:spacing w:before="160" w:after="120"/>
        <w:ind w:left="0"/>
      </w:pPr>
      <w:r>
        <w:t>4.1.3 3.3 Knowledge Transfer Deliverables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 (2 days, up to 10 participants)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(1 day, up to 25 participants)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Technical documentation and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Recorded training sessions for future reference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6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10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12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Start Date</w:t>
            </w:r>
          </w:p>
        </w:tc>
        <w:tc>
          <w:tcPr>
            <w:tcW w:type="dxa" w:w="108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End Date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Milestones</w:t>
            </w:r>
          </w:p>
        </w:tc>
      </w:tr>
      <w:tr>
        <w:tc>
          <w:tcPr>
            <w:tcW w:type="dxa" w:w="26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Discovery &amp; Planning</w:t>
            </w:r>
          </w:p>
        </w:tc>
        <w:tc>
          <w:tcPr>
            <w:tcW w:type="dxa" w:w="10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12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108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Requirements approved, Architecture signed-off</w:t>
            </w:r>
          </w:p>
        </w:tc>
      </w:tr>
      <w:tr>
        <w:tc>
          <w:tcPr>
            <w:tcW w:type="dxa" w:w="26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  <w:tc>
          <w:tcPr>
            <w:tcW w:type="dxa" w:w="10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 weeks</w:t>
            </w:r>
          </w:p>
        </w:tc>
        <w:tc>
          <w:tcPr>
            <w:tcW w:type="dxa" w:w="12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108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ready, Application deployed</w:t>
            </w:r>
          </w:p>
        </w:tc>
      </w:tr>
      <w:tr>
        <w:tc>
          <w:tcPr>
            <w:tcW w:type="dxa" w:w="26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Testing &amp; Validation</w:t>
            </w:r>
          </w:p>
        </w:tc>
        <w:tc>
          <w:tcPr>
            <w:tcW w:type="dxa" w:w="10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12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108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UAT completed, Go-live approved</w:t>
            </w:r>
          </w:p>
        </w:tc>
      </w:tr>
      <w:tr>
        <w:tc>
          <w:tcPr>
            <w:tcW w:type="dxa" w:w="26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Deployment &amp; Support</w:t>
            </w:r>
          </w:p>
        </w:tc>
        <w:tc>
          <w:tcPr>
            <w:tcW w:type="dxa" w:w="107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12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108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live, Training completed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3"/>
        <w:spacing w:before="160" w:after="120"/>
        <w:ind w:left="0"/>
      </w:pPr>
      <w:r>
        <w:t>4.2.1 4.2 Critical Dependencies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Client provides timely access to required systems and environments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Subject matter experts available for requirements gathering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connectivity and security approvals obtained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Third-party vendor coordination for integrations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Business stakeholder availability for key decision points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3"/>
        <w:spacing w:before="160" w:after="120"/>
        <w:ind w:left="0"/>
      </w:pPr>
      <w:r>
        <w:t>5.1 5.1 Vendor Responsibilities ([VENDOR_NAME])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Project Manager:</w:t>
      </w:r>
      <w:r>
        <w:rPr>
          <w:rFonts w:ascii="Calibri" w:hAnsi="Calibri"/>
          <w:sz w:val="24"/>
        </w:rPr>
        <w:t xml:space="preserve"> Overall project coordination and delivery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Solution Architect:</w:t>
      </w:r>
      <w:r>
        <w:rPr>
          <w:rFonts w:ascii="Calibri" w:hAnsi="Calibri"/>
          <w:sz w:val="24"/>
        </w:rPr>
        <w:t xml:space="preserve"> Technical design and architecture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Implementation Team:</w:t>
      </w:r>
      <w:r>
        <w:rPr>
          <w:rFonts w:ascii="Calibri" w:hAnsi="Calibri"/>
          <w:sz w:val="24"/>
        </w:rPr>
        <w:t xml:space="preserve"> System configuration, deployment,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Training Specialist:</w:t>
      </w:r>
      <w:r>
        <w:rPr>
          <w:rFonts w:ascii="Calibri" w:hAnsi="Calibri"/>
          <w:sz w:val="24"/>
        </w:rPr>
        <w:t xml:space="preserve"> User enablement and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Engineer:</w:t>
      </w:r>
      <w:r>
        <w:rPr>
          <w:rFonts w:ascii="Calibri" w:hAnsi="Calibri"/>
          <w:sz w:val="24"/>
        </w:rPr>
        <w:t xml:space="preserve"> Post-deployment support and issue resolution</w:t>
      </w:r>
    </w:p>
    <w:p>
      <w:pPr>
        <w:pStyle w:val="Heading3"/>
        <w:spacing w:before="160" w:after="120"/>
        <w:ind w:left="0"/>
      </w:pPr>
      <w:r>
        <w:t>5.2 5.2 Client Responsibilities ([CLIENT_NAME])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Project Sponsor:</w:t>
      </w:r>
      <w:r>
        <w:rPr>
          <w:rFonts w:ascii="Calibri" w:hAnsi="Calibri"/>
          <w:sz w:val="24"/>
        </w:rPr>
        <w:t xml:space="preserve"> Executive oversight and business decision authority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Technical Lead:</w:t>
      </w:r>
      <w:r>
        <w:rPr>
          <w:rFonts w:ascii="Calibri" w:hAnsi="Calibri"/>
          <w:sz w:val="24"/>
        </w:rPr>
        <w:t xml:space="preserve"> Infrastructure coordination and technical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Business Analyst:</w:t>
      </w:r>
      <w:r>
        <w:rPr>
          <w:rFonts w:ascii="Calibri" w:hAnsi="Calibri"/>
          <w:sz w:val="24"/>
        </w:rPr>
        <w:t xml:space="preserve"> Requirements validation and user acceptance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System Administrator:</w:t>
      </w:r>
      <w:r>
        <w:rPr>
          <w:rFonts w:ascii="Calibri" w:hAnsi="Calibri"/>
          <w:sz w:val="24"/>
        </w:rPr>
        <w:t xml:space="preserve"> Ongoing system maintenance and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 Users:</w:t>
      </w:r>
      <w:r>
        <w:rPr>
          <w:rFonts w:ascii="Calibri" w:hAnsi="Calibri"/>
          <w:sz w:val="24"/>
        </w:rPr>
        <w:t xml:space="preserve"> Participation in training and user acceptance testing</w:t>
      </w:r>
    </w:p>
    <w:p>
      <w:pPr>
        <w:pStyle w:val="Heading3"/>
        <w:spacing w:before="160" w:after="120"/>
        <w:ind w:left="0"/>
      </w:pPr>
      <w:r>
        <w:t>5.3 5.3 Shared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 management and issue escalation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control and scope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Quality assurance and acceptance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Communication and stakeholder management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p>
      <w:r>
        <w:rPr>
          <w:rFonts w:ascii="Calibri" w:hAnsi="Calibri"/>
          <w:sz w:val="24"/>
        </w:rPr>
        <w:t>Cloud-managed WiFi 6E architecture with 50 AP45 access points, Mist AI engine, and location services platform.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r>
        <w:rPr>
          <w:rFonts w:ascii="Calibri" w:hAnsi="Calibri"/>
          <w:sz w:val="24"/>
        </w:rPr>
        <w:t>Enterprise wireless security with 802.1X RADIUS authentication and basic SOC 2 compliance.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r>
        <w:rPr>
          <w:rFonts w:ascii="Calibri" w:hAnsi="Calibri"/>
          <w:sz w:val="24"/>
        </w:rPr>
        <w:t>Comprehensive RF validation, client connectivity testing, location services testing, and performance validation.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r>
        <w:rPr>
          <w:rFonts w:ascii="Calibri" w:hAnsi="Calibri"/>
          <w:sz w:val="24"/>
        </w:rPr>
        <w:t>Complete knowledge transfer with Mist dashboard training, Marvis AI training, and SLE baseline establishment.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3"/>
        <w:spacing w:before="160" w:after="120"/>
        <w:ind w:left="0"/>
      </w:pPr>
      <w:r>
        <w:t>10.1 6.1 Project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31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Amount</w:t>
            </w:r>
          </w:p>
        </w:tc>
      </w:tr>
      <w:tr>
        <w:tc>
          <w:tcPr>
            <w:tcW w:type="dxa" w:w="2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Professional Services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and configuration services</w:t>
            </w:r>
          </w:p>
        </w:tc>
        <w:tc>
          <w:tcPr>
            <w:tcW w:type="dxa" w:w="31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$[SERVICES_AMOUNT]</w:t>
            </w:r>
          </w:p>
        </w:tc>
      </w:tr>
      <w:tr>
        <w:tc>
          <w:tcPr>
            <w:tcW w:type="dxa" w:w="2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Training &amp; Support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training and initial support</w:t>
            </w:r>
          </w:p>
        </w:tc>
        <w:tc>
          <w:tcPr>
            <w:tcW w:type="dxa" w:w="31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$[TRAINING_AMOUNT]</w:t>
            </w:r>
          </w:p>
        </w:tc>
      </w:tr>
      <w:tr>
        <w:tc>
          <w:tcPr>
            <w:tcW w:type="dxa" w:w="2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Travel &amp; Expenses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On-site support and travel costs</w:t>
            </w:r>
          </w:p>
        </w:tc>
        <w:tc>
          <w:tcPr>
            <w:tcW w:type="dxa" w:w="31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$[TRAVEL_AMOUNT]</w:t>
            </w:r>
          </w:p>
        </w:tc>
      </w:tr>
      <w:tr>
        <w:tc>
          <w:tcPr>
            <w:tcW w:type="dxa" w:w="2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</w:r>
            <w:r>
              <w:rPr>
                <w:rFonts w:ascii="Calibri" w:hAnsi="Calibri"/>
                <w:b/>
                <w:sz w:val="24"/>
              </w:rPr>
              <w:t>TOTAL PROJECT COST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 for complete implementation</w:t>
            </w:r>
          </w:p>
        </w:tc>
        <w:tc>
          <w:tcPr>
            <w:tcW w:type="dxa" w:w="31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$[TOTAL_AMOUNT]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Investment Summary</w:t>
      </w:r>
    </w:p>
    <w:p>
      <w:pPr>
        <w:pStyle w:val="Heading3"/>
        <w:spacing w:before="160" w:after="120"/>
        <w:ind w:left="0"/>
      </w:pPr>
      <w:r>
        <w:t>10.2 6.2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25%</w:t>
      </w:r>
      <w:r>
        <w:rPr>
          <w:rFonts w:ascii="Calibri" w:hAnsi="Calibri"/>
          <w:sz w:val="24"/>
        </w:rPr>
        <w:t xml:space="preserve"> upon SOW execution and project kickoff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25%</w:t>
      </w:r>
      <w:r>
        <w:rPr>
          <w:rFonts w:ascii="Calibri" w:hAnsi="Calibri"/>
          <w:sz w:val="24"/>
        </w:rPr>
        <w:t xml:space="preserve"> upon completion of Discovery &amp; Planning phase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25%</w:t>
      </w:r>
      <w:r>
        <w:rPr>
          <w:rFonts w:ascii="Calibri" w:hAnsi="Calibri"/>
          <w:sz w:val="24"/>
        </w:rPr>
        <w:t xml:space="preserve"> upon completion of Implementation phase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25%</w:t>
      </w:r>
      <w:r>
        <w:rPr>
          <w:rFonts w:ascii="Calibri" w:hAnsi="Calibri"/>
          <w:sz w:val="24"/>
        </w:rPr>
        <w:t xml:space="preserve"> upon successful go-live and project acceptance</w:t>
      </w:r>
    </w:p>
    <w:p>
      <w:pPr>
        <w:pStyle w:val="Heading3"/>
        <w:spacing w:before="160" w:after="120"/>
        <w:ind w:left="0"/>
      </w:pPr>
      <w:r>
        <w:t>10.3 6.3 Additional Services</w:t>
      </w:r>
    </w:p>
    <w:p>
      <w:r>
        <w:rPr>
          <w:rFonts w:ascii="Calibri" w:hAnsi="Calibri"/>
          <w:sz w:val="24"/>
        </w:rPr>
        <w:t>Any additional services beyond the scope of this SOW will be quoted separately and require written approval from both parties.</w:t>
      </w:r>
    </w:p>
    <w:p>
      <w:pPr>
        <w:pStyle w:val="Heading2"/>
        <w:spacing w:before="240" w:after="120"/>
        <w:ind w:left="0"/>
      </w:pPr>
      <w:r>
        <w:t>10.1 7. ACCEPTANCE CRITERIA</w:t>
      </w:r>
    </w:p>
    <w:p>
      <w:pPr>
        <w:pStyle w:val="Heading3"/>
        <w:spacing w:before="160" w:after="120"/>
        <w:ind w:left="0"/>
      </w:pPr>
      <w:r>
        <w:t>10.1.1 7.1 Technical Acceptance</w:t>
      </w:r>
    </w:p>
    <w:p>
      <w:r>
        <w:rPr>
          <w:rFonts w:ascii="Calibri" w:hAnsi="Calibri"/>
          <w:sz w:val="24"/>
        </w:rPr>
        <w:t>The solution will be considered technically accepted when: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requirements are implemented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System performance meets specified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controls are implemented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Integration testing is completed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System passes all acceptance tests</w:t>
      </w:r>
    </w:p>
    <w:p>
      <w:pPr>
        <w:pStyle w:val="Heading3"/>
        <w:spacing w:before="160" w:after="120"/>
        <w:ind w:left="0"/>
      </w:pPr>
      <w:r>
        <w:t>10.1.2 7.2 Business Acceptance</w:t>
      </w:r>
    </w:p>
    <w:p>
      <w:r>
        <w:rPr>
          <w:rFonts w:ascii="Calibri" w:hAnsi="Calibri"/>
          <w:sz w:val="24"/>
        </w:rPr>
        <w:t>The project will be considered complete when: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Business stakeholders sign-off on user acceptance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Training is completed and knowledge transfer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is delivered and approved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System is operational in production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Support procedures are established and functional</w:t>
      </w:r>
    </w:p>
    <w:p>
      <w:pPr>
        <w:pStyle w:val="Heading2"/>
        <w:spacing w:before="240" w:after="120"/>
        <w:ind w:left="0"/>
      </w:pPr>
      <w:r>
        <w:t>10.2 8. ASSUMPTIONS &amp; CONSTRAINTS</w:t>
      </w:r>
    </w:p>
    <w:p>
      <w:pPr>
        <w:pStyle w:val="Heading3"/>
        <w:spacing w:before="160" w:after="120"/>
        <w:ind w:left="0"/>
      </w:pPr>
      <w:r>
        <w:t>10.2.1 8.1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necessary access to systems, data, and personnel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Existing infrastructure meets minimum requirements for solution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Required third-party systems and APIs are available and functional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requirements will remain stable throughout project duration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members will be available for scheduled activities</w:t>
      </w:r>
    </w:p>
    <w:p>
      <w:pPr>
        <w:pStyle w:val="Heading3"/>
        <w:spacing w:before="160" w:after="120"/>
        <w:ind w:left="0"/>
      </w:pPr>
      <w:r>
        <w:t>10.2.2 8.2 Constraints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must comply with existing security and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Implementation must not disrupt critical business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data handling must meet privacy and regulatory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must integrate with existing IT infrastructure and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Budget and timeline constraints as specified in this SOW</w:t>
      </w:r>
    </w:p>
    <w:p>
      <w:pPr>
        <w:pStyle w:val="Heading2"/>
        <w:spacing w:before="240" w:after="120"/>
        <w:ind w:left="0"/>
      </w:pPr>
      <w:r>
        <w:t>10.3 9. RISK MANAGEMENT</w:t>
      </w:r>
    </w:p>
    <w:p>
      <w:pPr>
        <w:pStyle w:val="Heading3"/>
        <w:spacing w:before="160" w:after="120"/>
        <w:ind w:left="0"/>
      </w:pPr>
      <w:r>
        <w:t>10.3.1 9.1 Identified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Probability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 Strategy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Resource Availability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Advance scheduling and backup resources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Integration Complexity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Early integration testing and validation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Scope Creep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Formal change control process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Technology Dependencies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Contingency planning and alternatives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Investment Summary</w:t>
      </w:r>
    </w:p>
    <w:p>
      <w:pPr>
        <w:pStyle w:val="Heading3"/>
        <w:spacing w:before="160" w:after="120"/>
        <w:ind w:left="0"/>
      </w:pPr>
      <w:r>
        <w:t>10.3.2 9.2 Change Management</w:t>
      </w:r>
    </w:p>
    <w:p>
      <w:r>
        <w:rPr>
          <w:rFonts w:ascii="Calibri" w:hAnsi="Calibri"/>
          <w:sz w:val="24"/>
        </w:rPr>
        <w:t>Any changes to project scope, timeline, or budget must be documented through formal change requests and approved by both parties before implementation.</w:t>
      </w:r>
    </w:p>
    <w:p>
      <w:pPr>
        <w:pStyle w:val="Heading2"/>
        <w:spacing w:before="240" w:after="120"/>
        <w:ind w:left="0"/>
      </w:pPr>
      <w:r>
        <w:t>10.4 10. TERMS &amp; CONDITIONS</w:t>
      </w:r>
    </w:p>
    <w:p>
      <w:pPr>
        <w:pStyle w:val="Heading3"/>
        <w:spacing w:before="160" w:after="120"/>
        <w:ind w:left="0"/>
      </w:pPr>
      <w:r>
        <w:t>10.4.1 10.1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business data and information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ownership of proprietary methodologies and tools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configuration and customizations become client property upon final payment</w:t>
      </w:r>
    </w:p>
    <w:p>
      <w:pPr>
        <w:pStyle w:val="Heading3"/>
        <w:spacing w:before="160" w:after="120"/>
        <w:ind w:left="0"/>
      </w:pPr>
      <w:r>
        <w:t>10.4.2 10.2 Confidentiality</w:t>
      </w:r>
    </w:p>
    <w:p>
      <w:r>
        <w:rPr>
          <w:rFonts w:ascii="Calibri" w:hAnsi="Calibri"/>
          <w:sz w:val="24"/>
        </w:rPr>
        <w:t>Both parties agree to maintain strict confidentiality of proprietary information and business data throughout the project and beyond.</w:t>
      </w:r>
    </w:p>
    <w:p>
      <w:pPr>
        <w:pStyle w:val="Heading3"/>
        <w:spacing w:before="160" w:after="120"/>
        <w:ind w:left="0"/>
      </w:pPr>
      <w:r>
        <w:t>10.4.3 10.3 Warranty &amp;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90-day warranty on all deliverables from go-live date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Defect resolution included at no additional cost during warranty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Post-warranty support available under separate maintenance agreement</w:t>
      </w:r>
    </w:p>
    <w:p>
      <w:pPr>
        <w:pStyle w:val="Heading3"/>
        <w:spacing w:before="160" w:after="120"/>
        <w:ind w:left="0"/>
      </w:pPr>
      <w:r>
        <w:t>10.4.4 10.4 Limitation of Liability</w:t>
      </w:r>
    </w:p>
    <w:p>
      <w:r>
        <w:rPr>
          <w:rFonts w:ascii="Calibri" w:hAnsi="Calibri"/>
          <w:sz w:val="24"/>
        </w:rPr>
        <w:t>Vendor's liability is limited to the total contract value. Neither party shall be liable for indirect, incidental, or consequential damages.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Intellectual Property</w:t>
      </w:r>
    </w:p>
    <w:p>
      <w:r>
        <w:rPr>
          <w:rFonts w:ascii="Calibri" w:hAnsi="Calibri"/>
          <w:sz w:val="24"/>
        </w:rPr>
        <w:t>Client retains ownership of wireless configurations and business data. Vendor retains ownership of implementation methodologies.</w:t>
      </w:r>
    </w:p>
    <w:p>
      <w:pPr>
        <w:pStyle w:val="Heading2"/>
        <w:spacing w:before="240" w:after="120"/>
        <w:ind w:left="0"/>
      </w:pPr>
      <w:r>
        <w:t>11.2 Warranty &amp; Support</w:t>
      </w:r>
    </w:p>
    <w:p>
      <w:r>
        <w:rPr>
          <w:rFonts w:ascii="Calibri" w:hAnsi="Calibri"/>
          <w:sz w:val="24"/>
        </w:rPr>
        <w:t>30-day warranty on all deliverables from production handoff date.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9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Juniper - Mist AI Network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