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NVIDIA DGX SuperPOD AI Infrastructure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NVIDIA DGX SuperPOD AI Infrastructure implementation. It covers the target-state architecture for an 8-node DGX H100 cluster with NVIDIA Quantum-2 InfiniBand fabric, Base Command storage platform, and enterprise AI software stack including Slurm workload management, NGC containers, and DCGM monitoring.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enterprise AI supercomputing infrastructure.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8x DGX H100 systems with 64 H100 80GB GPUs (32 petaFLOPS FP8)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Quantum-2 InfiniBand 400 Gbps fabric with 4x QM9700 switches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Base Command 1 PB NVMe storage cluster with 14 GB/s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Slurm workload manager with GPU-aware scheduling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NGC container runtime and AI framework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DCGM monitoring with Prometheus/Grafana dashboards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LDAP/AD integration for user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controls and network segmentation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(covered in Implementation Guide)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support procedures (covered in Operations Runbook)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 2 expansion to 16+ DGX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Inference cluster deployment (future phase)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Datacenter has 500 kW power capacity available for DGX SuperPOD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Cooling infrastructure supports 500 kW thermal load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to corporate LDAP/AD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99.5% uptime SLA requirement applies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50+ data scientists will use the platform concurrently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Primary workloads: LLM training, computer vision, drug discovery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DGX SuperPOD Reference Architecture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Base Command Platform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Slurm workload manager documentation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Training Acceleration:</w:t>
      </w:r>
      <w:r>
        <w:rPr>
          <w:rFonts w:ascii="Calibri" w:hAnsi="Calibri"/>
          <w:sz w:val="24"/>
        </w:rPr>
        <w:t xml:space="preserve"> Reduce AI model training time by 10x compared to cloud GPU instances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Optimization:</w:t>
      </w:r>
      <w:r>
        <w:rPr>
          <w:rFonts w:ascii="Calibri" w:hAnsi="Calibri"/>
          <w:sz w:val="24"/>
        </w:rPr>
        <w:t xml:space="preserve"> Achieve 70% cost reduction vs. cloud GPU compute over 5 years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Research Velocity:</w:t>
      </w:r>
      <w:r>
        <w:rPr>
          <w:rFonts w:ascii="Calibri" w:hAnsi="Calibri"/>
          <w:sz w:val="24"/>
        </w:rPr>
        <w:t xml:space="preserve"> Support 50+ data scientists with dedicated GPU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Model Scale:</w:t>
      </w:r>
      <w:r>
        <w:rPr>
          <w:rFonts w:ascii="Calibri" w:hAnsi="Calibri"/>
          <w:sz w:val="24"/>
        </w:rPr>
        <w:t xml:space="preserve"> Enable training of 100B+ parameter foundation models in-house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Security:</w:t>
      </w:r>
      <w:r>
        <w:rPr>
          <w:rFonts w:ascii="Calibri" w:hAnsi="Calibri"/>
          <w:sz w:val="24"/>
        </w:rPr>
        <w:t xml:space="preserve"> Keep sensitive training data on-premises under organizational control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DCGM uptime 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Utilization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70-80%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DCGM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InfiniBand Latency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2 microseconds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perftest validation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Throughput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14 GB/s sustained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IOR benchmark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Queue Wait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30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security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key-based authentication required; password authentication disabled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LDAP/AD integration for centralized user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segmentation between management and compute networks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administrative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encryption for sensitive datasets at rest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32 petaFLOPS FP8 aggregate compute validated via MLPerf benchmarks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InfiniBand fabric latency &lt; 2 microseconds confirmed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throughput meets 14 GB/s sustained read/write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64 GPUs operational and visible to Slurm scheduler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52+ researchers onboarded and productive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DGX SuperPOD will integrate with.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AI infrastructure relies on cloud GPU resources with limited scale.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GPU Instances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training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p4d.24xlarge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augmented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JupyterHub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Interactive development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Cloud-hosted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migrated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MLflow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Experiment tracking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On-premises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LDAP/AD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authentication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On-premises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datacenter will be upgraded to support the DGX SuperPOD installation.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Power Infrastructure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kW capacity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Upgrade required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Cooling 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kW thermal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Upgrade required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Switches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 GbE management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Existing infrastructure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Rack Space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42U racks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New installation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DGX SuperPOD has the following external dependencies.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Corporate LDAP/AD for user authentication and group membership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DNS servers for hostname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NTP servers for time synchronization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SMTP relay for alerting notifications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Existing MLflow server for experiment tracking integration</w:t>
      </w:r>
    </w:p>
    <w:p>
      <w:pPr>
        <w:pStyle w:val="Heading2"/>
        <w:spacing w:before="240" w:after="120"/>
        <w:ind w:left="0"/>
      </w:pPr>
      <w:r>
        <w:t>3.4 Network Topology</w:t>
      </w:r>
    </w:p>
    <w:p>
      <w:r>
        <w:rPr>
          <w:rFonts w:ascii="Calibri" w:hAnsi="Calibri"/>
          <w:sz w:val="24"/>
        </w:rPr>
        <w:t>Current network provides 100 GbE connectivity for management traffic with dedicated InfiniBand fabric for GPU communication.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Management Network: 100 GbE Ethernet for SSH, monitoring, and job submission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Compute Fabric: 400 Gbps InfiniBand NDR for GPU-to-GPU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Network: InfiniBand for GPUDirect Storage access</w:t>
      </w:r>
    </w:p>
    <w:p>
      <w:pPr>
        <w:pStyle w:val="Heading2"/>
        <w:spacing w:before="240" w:after="120"/>
        <w:ind w:left="0"/>
      </w:pPr>
      <w:r>
        <w:t>3.5 Performance Baseline</w:t>
      </w:r>
    </w:p>
    <w:p>
      <w:r>
        <w:rPr>
          <w:rFonts w:ascii="Calibri" w:hAnsi="Calibri"/>
          <w:sz w:val="24"/>
        </w:rPr>
        <w:t>Current cloud GPU performance establishes the baseline for improvement targets.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 training time (GPT-3 scale): 12+ months on AWS p4d.24xlarge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 GPU cost: $2.5M annually for equivalent compute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utilization: Variable due to spot instance interruptions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transfer overhead: Significant for large datasets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delivers enterprise-grade AI supercomputing with 32 petaFLOPS FP8 performance, high-bandwidth InfiniBand fabric, and enterprise storage.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77083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83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Performance First:</w:t>
      </w:r>
      <w:r>
        <w:rPr>
          <w:rFonts w:ascii="Calibri" w:hAnsi="Calibri"/>
          <w:sz w:val="24"/>
        </w:rPr>
        <w:t xml:space="preserve"> Optimize for maximum GPU utilization and training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Scalability:</w:t>
      </w:r>
      <w:r>
        <w:rPr>
          <w:rFonts w:ascii="Calibri" w:hAnsi="Calibri"/>
          <w:sz w:val="24"/>
        </w:rPr>
        <w:t xml:space="preserve"> Design fabric and storage for future expansion to 16+ DGX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Reliability:</w:t>
      </w:r>
      <w:r>
        <w:rPr>
          <w:rFonts w:ascii="Calibri" w:hAnsi="Calibri"/>
          <w:sz w:val="24"/>
        </w:rPr>
        <w:t xml:space="preserve"> Eliminate single points of failure with redundant InfiniBand connections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by Design:</w:t>
      </w:r>
      <w:r>
        <w:rPr>
          <w:rFonts w:ascii="Calibri" w:hAnsi="Calibri"/>
          <w:sz w:val="24"/>
        </w:rPr>
        <w:t xml:space="preserve"> Network segmentation, SSH key authentication, audit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Operational Excellence:</w:t>
      </w:r>
      <w:r>
        <w:rPr>
          <w:rFonts w:ascii="Calibri" w:hAnsi="Calibri"/>
          <w:sz w:val="24"/>
        </w:rPr>
        <w:t xml:space="preserve"> Comprehensive monitoring with proactive alerting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for HPC AI workloads.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Shared HPC cluster with Slurm fair-share scheduling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Pattern:</w:t>
      </w:r>
      <w:r>
        <w:rPr>
          <w:rFonts w:ascii="Calibri" w:hAnsi="Calibri"/>
          <w:sz w:val="24"/>
        </w:rPr>
        <w:t xml:space="preserve"> Parallel filesystem with GPUDirect Storage for high-throughput I/O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Pattern:</w:t>
      </w:r>
      <w:r>
        <w:rPr>
          <w:rFonts w:ascii="Calibri" w:hAnsi="Calibri"/>
          <w:sz w:val="24"/>
        </w:rPr>
        <w:t xml:space="preserve"> Non-blocking InfiniBand fabric with RDMA for GPU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Container Pattern:</w:t>
      </w:r>
      <w:r>
        <w:rPr>
          <w:rFonts w:ascii="Calibri" w:hAnsi="Calibri"/>
          <w:sz w:val="24"/>
        </w:rPr>
        <w:t xml:space="preserve"> NGC containers for reproducible AI environments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components with specific responsibilities.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DGX H100 Nodes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compute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8x DGX H100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Power, cooling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InfiniBand Fabric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communication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Quantum-2 QM9700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DGX nodes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Switch expansion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Cluster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Dataset and checkpoint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Base Command 1 PB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InfiniBand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Capacity expansion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 Controller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scheduling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 23.02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nodes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pair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Login Nodes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access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Linux servers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LDAP, Slurm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 Stack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Observability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Prometheus/Grafana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DCGM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Vertical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NVIDIA best practices and enterprise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DGX H100 with H100 80GB GPUs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Latest generation, 4 petaFLOPS per node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Quantum-2 InfiniBand 400 Gbps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Lowest latency for distributed training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Base Command NVMe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14 GB/s throughput, GPUDirect Storage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Scheduler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 23.02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Industry standard, GPU-aware scheduling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NGC Catalog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Optimized AI frameworks, regular updates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DCGM + Prometheus + Grafana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GPU-specific metrics, alerting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 and governance mechanisms implemented in the solution.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enterprise security standards with centralized authentication.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LDAP/AD integration with SSH key-based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Slurm account-based access control with partition restrictions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MFA:</w:t>
      </w:r>
      <w:r>
        <w:rPr>
          <w:rFonts w:ascii="Calibri" w:hAnsi="Calibri"/>
          <w:sz w:val="24"/>
        </w:rPr>
        <w:t xml:space="preserve"> Required for administrative access via jump host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Accounts:</w:t>
      </w:r>
      <w:r>
        <w:rPr>
          <w:rFonts w:ascii="Calibri" w:hAnsi="Calibri"/>
          <w:sz w:val="24"/>
        </w:rPr>
        <w:t xml:space="preserve"> Dedicated accounts for monitoring and automation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DGX SuperPOD.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DGX Administrator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system access, node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DGX nodes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 Operator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management, queue administration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 scheduler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Scientist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submission, GPU allocation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partitions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monitoring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Dashboards only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Sensitive credentials are managed through secure practices.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keys stored in user home directories with 600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 bind credentials stored in Slurm configuration with restricted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credentials managed via Kubernetes secrets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plaintext passwords in configuration files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implements defense-in-depth with segmentation.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Network:</w:t>
      </w:r>
      <w:r>
        <w:rPr>
          <w:rFonts w:ascii="Calibri" w:hAnsi="Calibri"/>
          <w:sz w:val="24"/>
        </w:rPr>
        <w:t xml:space="preserve"> VLAN-isolated, firewall-protected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Compute Fabric:</w:t>
      </w:r>
      <w:r>
        <w:rPr>
          <w:rFonts w:ascii="Calibri" w:hAnsi="Calibri"/>
          <w:sz w:val="24"/>
        </w:rPr>
        <w:t xml:space="preserve"> Dedicated InfiniBand network, no external routing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Network:</w:t>
      </w:r>
      <w:r>
        <w:rPr>
          <w:rFonts w:ascii="Calibri" w:hAnsi="Calibri"/>
          <w:sz w:val="24"/>
        </w:rPr>
        <w:t xml:space="preserve"> InfiniBand-only access, no Ethernet exposure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Jump Host:</w:t>
      </w:r>
      <w:r>
        <w:rPr>
          <w:rFonts w:ascii="Calibri" w:hAnsi="Calibri"/>
          <w:sz w:val="24"/>
        </w:rPr>
        <w:t xml:space="preserve"> Required for administrative SSH access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confidentiality of training data and models.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at Rest:</w:t>
      </w:r>
      <w:r>
        <w:rPr>
          <w:rFonts w:ascii="Calibri" w:hAnsi="Calibri"/>
          <w:sz w:val="24"/>
        </w:rPr>
        <w:t xml:space="preserve"> Optional for sensitive datasets via dm-crypt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in Transit:</w:t>
      </w:r>
      <w:r>
        <w:rPr>
          <w:rFonts w:ascii="Calibri" w:hAnsi="Calibri"/>
          <w:sz w:val="24"/>
        </w:rPr>
        <w:t xml:space="preserve"> SSH for management, InfiniBand for compute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 Controls:</w:t>
      </w:r>
      <w:r>
        <w:rPr>
          <w:rFonts w:ascii="Calibri" w:hAnsi="Calibri"/>
          <w:sz w:val="24"/>
        </w:rPr>
        <w:t xml:space="preserve"> POSIX permissions with LDAP group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checkpoint backup to secondary storage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security requirements to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SSH key authentication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Password authentication disabled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Logging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Centralized logging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rsyslog to SIEM integration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Isolation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VLAN segmentation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 and compute separated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Protection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File 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 group-based access control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Security Controls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r>
        <w:rPr>
          <w:rFonts w:ascii="Calibri" w:hAnsi="Calibri"/>
          <w:sz w:val="24"/>
        </w:rPr>
        <w:t>Comprehensive audit logging supports security monitoring.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access logs forwarded to centralized SIEM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Slurm job submission and completion logged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DCGM hardware events captured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retention: 90 days online, 1 year archive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storage strategy, and data management for AI workloads.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r>
        <w:rPr>
          <w:rFonts w:ascii="Calibri" w:hAnsi="Calibri"/>
          <w:sz w:val="24"/>
        </w:rPr>
        <w:t>The DGX SuperPOD manages the following data categories: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Training Datasets:</w:t>
      </w:r>
      <w:r>
        <w:rPr>
          <w:rFonts w:ascii="Calibri" w:hAnsi="Calibri"/>
          <w:sz w:val="24"/>
        </w:rPr>
        <w:t xml:space="preserve"> Input data for model training (TB to PB scale)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Model Checkpoints:</w:t>
      </w:r>
      <w:r>
        <w:rPr>
          <w:rFonts w:ascii="Calibri" w:hAnsi="Calibri"/>
          <w:sz w:val="24"/>
        </w:rPr>
        <w:t xml:space="preserve"> Intermediate training state for fault tolerance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Trained Models:</w:t>
      </w:r>
      <w:r>
        <w:rPr>
          <w:rFonts w:ascii="Calibri" w:hAnsi="Calibri"/>
          <w:sz w:val="24"/>
        </w:rPr>
        <w:t xml:space="preserve"> Final model artifacts for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Experiment Metadata:</w:t>
      </w:r>
      <w:r>
        <w:rPr>
          <w:rFonts w:ascii="Calibri" w:hAnsi="Calibri"/>
          <w:sz w:val="24"/>
        </w:rPr>
        <w:t xml:space="preserve"> MLflow tracking data and hyperparameters</w:t>
      </w:r>
    </w:p>
    <w:p>
      <w:pPr>
        <w:pStyle w:val="Heading3"/>
        <w:spacing w:before="160" w:after="120"/>
        <w:ind w:left="0"/>
      </w:pPr>
      <w:r>
        <w:t>6.1.2 Logical Model</w:t>
      </w:r>
    </w:p>
    <w:p>
      <w:r>
        <w:rPr>
          <w:rFonts w:ascii="Calibri" w:hAnsi="Calibri"/>
          <w:sz w:val="24"/>
        </w:rPr>
        <w:t>The storage hierarchy supports different access patterns and performance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Data Type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Storage Location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Access Pattern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Retention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Data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/shared/datasets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Read-heavy, sequential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Permanent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Checkpoints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/shared/checkpoints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Write-heavy, periodic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 days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Models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/shared/models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Read-heavy, random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Permanent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Scratch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/local/scratch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High-throughput, temporary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lifetime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Type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Data Ingestion:</w:t>
      </w:r>
      <w:r>
        <w:rPr>
          <w:rFonts w:ascii="Calibri" w:hAnsi="Calibri"/>
          <w:sz w:val="24"/>
        </w:rPr>
        <w:t xml:space="preserve"> Datasets uploaded to /shared/datasets via login nodes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Job Execution:</w:t>
      </w:r>
      <w:r>
        <w:rPr>
          <w:rFonts w:ascii="Calibri" w:hAnsi="Calibri"/>
          <w:sz w:val="24"/>
        </w:rPr>
        <w:t xml:space="preserve"> Slurm allocates GPUs and mounts shared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Training I/O:</w:t>
      </w:r>
      <w:r>
        <w:rPr>
          <w:rFonts w:ascii="Calibri" w:hAnsi="Calibri"/>
          <w:sz w:val="24"/>
        </w:rPr>
        <w:t xml:space="preserve"> GPUDirect Storage for high-throughput data loading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Checkpointing:</w:t>
      </w:r>
      <w:r>
        <w:rPr>
          <w:rFonts w:ascii="Calibri" w:hAnsi="Calibri"/>
          <w:sz w:val="24"/>
        </w:rPr>
        <w:t xml:space="preserve"> Periodic saves to /shared/checkpoints for fault tolerance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Model Export:</w:t>
      </w:r>
      <w:r>
        <w:rPr>
          <w:rFonts w:ascii="Calibri" w:hAnsi="Calibri"/>
          <w:sz w:val="24"/>
        </w:rPr>
        <w:t xml:space="preserve"> Final models saved to /shared/models for deployment</w:t>
      </w:r>
    </w:p>
    <w:p>
      <w:pPr>
        <w:pStyle w:val="Heading2"/>
        <w:spacing w:before="240" w:after="120"/>
        <w:ind w:left="0"/>
      </w:pPr>
      <w:r>
        <w:t>6.3 Data Migration Strategy</w:t>
      </w:r>
    </w:p>
    <w:p>
      <w:r>
        <w:rPr>
          <w:rFonts w:ascii="Calibri" w:hAnsi="Calibri"/>
          <w:sz w:val="24"/>
        </w:rPr>
        <w:t>Training datasets will be migrated from existing storage.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Staged migration with parallel operation during transition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Checksum verification for data integrity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Cutover:</w:t>
      </w:r>
      <w:r>
        <w:rPr>
          <w:rFonts w:ascii="Calibri" w:hAnsi="Calibri"/>
          <w:sz w:val="24"/>
        </w:rPr>
        <w:t xml:space="preserve"> Users redirect to new storage paths after validation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handling of training data.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Public datasets, proprietary data, sensitive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Based on project requirements and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Access:</w:t>
      </w:r>
      <w:r>
        <w:rPr>
          <w:rFonts w:ascii="Calibri" w:hAnsi="Calibri"/>
          <w:sz w:val="24"/>
        </w:rPr>
        <w:t xml:space="preserve"> LDAP group-based permissions per project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snapshots with 30-day retention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DGX SuperPOD integrates with the following external systems.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LDAP/AD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Binary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MLflow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Circuit breaker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SMTP Relay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Async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SMTP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Email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and 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99.0%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NTP Servers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NTP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Binary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Fallback servers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99.99%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r>
        <w:rPr>
          <w:rFonts w:ascii="Calibri" w:hAnsi="Calibri"/>
          <w:sz w:val="24"/>
        </w:rPr>
        <w:t>Slurm provides the primary interface for job submission and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Job Submission:</w:t>
      </w:r>
      <w:r>
        <w:rPr>
          <w:rFonts w:ascii="Calibri" w:hAnsi="Calibri"/>
          <w:sz w:val="24"/>
        </w:rPr>
        <w:t xml:space="preserve"> sbatch, srun commands via SSH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Queue Queries:</w:t>
      </w:r>
      <w:r>
        <w:rPr>
          <w:rFonts w:ascii="Calibri" w:hAnsi="Calibri"/>
          <w:sz w:val="24"/>
        </w:rPr>
        <w:t xml:space="preserve"> squeue, sinfo for job and node status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Accounting:</w:t>
      </w:r>
      <w:r>
        <w:rPr>
          <w:rFonts w:ascii="Calibri" w:hAnsi="Calibri"/>
          <w:sz w:val="24"/>
        </w:rPr>
        <w:t xml:space="preserve"> sacct for job history and resource usage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REST API:</w:t>
      </w:r>
      <w:r>
        <w:rPr>
          <w:rFonts w:ascii="Calibri" w:hAnsi="Calibri"/>
          <w:sz w:val="24"/>
        </w:rPr>
        <w:t xml:space="preserve"> Slurm REST API for programmatic access (optional)</w:t>
      </w:r>
    </w:p>
    <w:p>
      <w:pPr>
        <w:pStyle w:val="Heading3"/>
        <w:spacing w:before="160" w:after="120"/>
        <w:ind w:left="0"/>
      </w:pPr>
      <w:r>
        <w:t>7.2.1 API Endpoints</w:t>
      </w:r>
    </w:p>
    <w:p>
      <w:r>
        <w:rPr>
          <w:rFonts w:ascii="Calibri" w:hAnsi="Calibri"/>
          <w:sz w:val="24"/>
        </w:rPr>
        <w:t>The following interfaces provide programmatic access to DGX SuperPOD resources.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Auth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login.dgx.internal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SSH Key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Interactive and batch job submission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grafana.dgx.internal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 dashboard access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jupyterhub.dgx.internal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Interactive notebook access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slurm-api.dgx.internal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Token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Programmatic job management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Authentication &amp; SSO Flows</w:t>
      </w:r>
    </w:p>
    <w:p>
      <w:r>
        <w:rPr>
          <w:rFonts w:ascii="Calibri" w:hAnsi="Calibri"/>
          <w:sz w:val="24"/>
        </w:rPr>
        <w:t>Single sign-on provides seamless authentication across DGX SuperPOD services.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LDAP/AD authentication for all user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key-based authentication for command-line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 group membership controls Slurm partition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JupyterHub OAuth integration with corporate IdP</w:t>
      </w:r>
    </w:p>
    <w:p>
      <w:pPr>
        <w:pStyle w:val="Heading2"/>
        <w:spacing w:before="240" w:after="120"/>
        <w:ind w:left="0"/>
      </w:pPr>
      <w:r>
        <w:t>7.4 Messaging &amp; Event Patterns</w:t>
      </w:r>
    </w:p>
    <w:p>
      <w:r>
        <w:rPr>
          <w:rFonts w:ascii="Calibri" w:hAnsi="Calibri"/>
          <w:sz w:val="24"/>
        </w:rPr>
        <w:t>Event-driven patterns support operational automation.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Job Events:</w:t>
      </w:r>
      <w:r>
        <w:rPr>
          <w:rFonts w:ascii="Calibri" w:hAnsi="Calibri"/>
          <w:sz w:val="24"/>
        </w:rPr>
        <w:t xml:space="preserve"> Slurm prolog/epilog scripts for job lifecycle hooks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Prometheus AlertManager for threshold-based notifications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Logging:</w:t>
      </w:r>
      <w:r>
        <w:rPr>
          <w:rFonts w:ascii="Calibri" w:hAnsi="Calibri"/>
          <w:sz w:val="24"/>
        </w:rPr>
        <w:t xml:space="preserve"> rsyslog forwarding to centralized log management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infrastructure design, deployment architecture, and operational procedures.</w:t>
      </w:r>
    </w:p>
    <w:p>
      <w:pPr>
        <w:pStyle w:val="Heading2"/>
        <w:spacing w:before="240" w:after="120"/>
        <w:ind w:left="0"/>
      </w:pPr>
      <w:r>
        <w:t>8.1 Network Design</w:t>
      </w:r>
    </w:p>
    <w:p>
      <w:r>
        <w:rPr>
          <w:rFonts w:ascii="Calibri" w:hAnsi="Calibri"/>
          <w:sz w:val="24"/>
        </w:rPr>
        <w:t>The network architecture provides isolated management and high-performance compute fabrics.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VLAN:</w:t>
      </w:r>
      <w:r>
        <w:rPr>
          <w:rFonts w:ascii="Calibri" w:hAnsi="Calibri"/>
          <w:sz w:val="24"/>
        </w:rPr>
        <w:t xml:space="preserve"> 10.100.0.0/24 for SSH, monitoring, Slurm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BMC Network:</w:t>
      </w:r>
      <w:r>
        <w:rPr>
          <w:rFonts w:ascii="Calibri" w:hAnsi="Calibri"/>
          <w:sz w:val="24"/>
        </w:rPr>
        <w:t xml:space="preserve"> 10.100.1.0/24 for out-of-band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InfiniBand Fabric:</w:t>
      </w:r>
      <w:r>
        <w:rPr>
          <w:rFonts w:ascii="Calibri" w:hAnsi="Calibri"/>
          <w:sz w:val="24"/>
        </w:rPr>
        <w:t xml:space="preserve"> Dedicated non-routed fabric for GPU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Network:</w:t>
      </w:r>
      <w:r>
        <w:rPr>
          <w:rFonts w:ascii="Calibri" w:hAnsi="Calibri"/>
          <w:sz w:val="24"/>
        </w:rPr>
        <w:t xml:space="preserve"> InfiniBand for GPUDirect Storage access</w:t>
      </w:r>
    </w:p>
    <w:p>
      <w:pPr>
        <w:pStyle w:val="Heading2"/>
        <w:spacing w:before="240" w:after="120"/>
        <w:ind w:left="0"/>
      </w:pPr>
      <w:r>
        <w:t>8.2 Compute Sizing</w:t>
      </w:r>
    </w:p>
    <w:p>
      <w:r>
        <w:rPr>
          <w:rFonts w:ascii="Calibri" w:hAnsi="Calibri"/>
          <w:sz w:val="24"/>
        </w:rPr>
        <w:t>DGX H100 systems provide the GPU compute foundation.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 Node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Count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H100 80GB SXM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nodes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Memory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HBM3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640 GB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5.1 TB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nodes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System RAM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DDR5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TB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 TB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nodes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Local NVMe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 TB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240 TB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nodes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Component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eliminates single points of failure where possible.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Dual InfiniBand connections per DGX node for fabric redundancy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Slurm controller with backup controller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Redundant power feeds per DGX system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RAID protection on shared storage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r>
        <w:rPr>
          <w:rFonts w:ascii="Calibri" w:hAnsi="Calibri"/>
          <w:sz w:val="24"/>
        </w:rPr>
        <w:t>Disaster recovery capabilities protect against data loss.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24 hours (daily checkpoint backup)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4 hours (node replacement from spares)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snapshot of shared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Recovery:</w:t>
      </w:r>
      <w:r>
        <w:rPr>
          <w:rFonts w:ascii="Calibri" w:hAnsi="Calibri"/>
          <w:sz w:val="24"/>
        </w:rPr>
        <w:t xml:space="preserve"> Documented procedures in operations runbook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r>
        <w:rPr>
          <w:rFonts w:ascii="Calibri" w:hAnsi="Calibri"/>
          <w:sz w:val="24"/>
        </w:rPr>
        <w:t>Comprehensive monitoring provides visibility across the DGX SuperPOD.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GPU Metrics:</w:t>
      </w:r>
      <w:r>
        <w:rPr>
          <w:rFonts w:ascii="Calibri" w:hAnsi="Calibri"/>
          <w:sz w:val="24"/>
        </w:rPr>
        <w:t xml:space="preserve"> DCGM exporter for utilization, temperature, memory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System Metrics:</w:t>
      </w:r>
      <w:r>
        <w:rPr>
          <w:rFonts w:ascii="Calibri" w:hAnsi="Calibri"/>
          <w:sz w:val="24"/>
        </w:rPr>
        <w:t xml:space="preserve"> Node exporter for CPU, memory, disk, network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Slurm Metrics:</w:t>
      </w:r>
      <w:r>
        <w:rPr>
          <w:rFonts w:ascii="Calibri" w:hAnsi="Calibri"/>
          <w:sz w:val="24"/>
        </w:rPr>
        <w:t xml:space="preserve"> Custom exporter for queue depth, job status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Prometheus AlertManager with PagerDuty integration</w:t>
      </w:r>
    </w:p>
    <w:p>
      <w:pPr>
        <w:pStyle w:val="Heading3"/>
        <w:spacing w:before="160" w:after="120"/>
        <w:ind w:left="0"/>
      </w:pPr>
      <w:r>
        <w:t>8.5.1 Alert Definitions</w:t>
      </w:r>
    </w:p>
    <w:p>
      <w:r>
        <w:rPr>
          <w:rFonts w:ascii="Calibri" w:hAnsi="Calibri"/>
          <w:sz w:val="24"/>
        </w:rPr>
        <w:t>The following alerts ensure proactive incident detection.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Temperature 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83°C for 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Reduce workload, check cooling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Memory Full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95% for 10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 job memory usage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InfiniBand Errors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100 errors/hour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cable connections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Full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10% free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Archive old data, expand storage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Logging &amp; Observability</w:t>
      </w:r>
    </w:p>
    <w:p>
      <w:r>
        <w:rPr>
          <w:rFonts w:ascii="Calibri" w:hAnsi="Calibri"/>
          <w:sz w:val="24"/>
        </w:rPr>
        <w:t>Centralized logging enables troubleshooting and audit compliance.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Slurm job logs aggregated to shared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System logs forwarded via rsyslog to SIEM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DCGM events captured in Prometheus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Grafana dashboards for visualization</w:t>
      </w:r>
    </w:p>
    <w:p>
      <w:pPr>
        <w:pStyle w:val="Heading2"/>
        <w:spacing w:before="240" w:after="120"/>
        <w:ind w:left="0"/>
      </w:pPr>
      <w:r>
        <w:t>8.7 Cost Model</w:t>
      </w:r>
    </w:p>
    <w:p>
      <w:r>
        <w:rPr>
          <w:rFonts w:ascii="Calibri" w:hAnsi="Calibri"/>
          <w:sz w:val="24"/>
        </w:rPr>
        <w:t>The DGX SuperPOD investment and ongoing costs are summarized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Investment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Annual Operating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$4,370,000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8x DGX H100, InfiniBand, storage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Facilities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$350,000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$75,000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Power/cooling upgrade, electricity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$196,200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$76,640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Enterprise licenses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$320,000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$320,000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NVIDIA Enterprise Support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$5,236,200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$471,640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Year 1 net after credits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Category And Year 1 Investment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strategy, tooling, and sequencing for the implementation.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r>
        <w:rPr>
          <w:rFonts w:ascii="Calibri" w:hAnsi="Calibri"/>
          <w:sz w:val="24"/>
        </w:rPr>
        <w:t>The deployment follows a phased approach with validation at each stage.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Phased installation with parallel cloud operation during transition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Incremental node deployment with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Performance benchmarks at each milestone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Cloud resources maintained during hypercare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phased approach with clear exit criteria.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Site assessment, architecture design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Design approved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Site Prep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Power/cooling upgrade, rack installation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Datacenter ready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DGX installation, InfiniBand fabric,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benchmarks, UAT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tests passing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support, optimization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self-sufficient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automation for deployment and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DGX OS configuration, user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DCGM + Prometheus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metrics collection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Visualization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Grafana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Dashboard and alerting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Scheduling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Workload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NGC + Singularity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framework deployment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transitions users from cloud to DGX SuperPOD.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Phased migration with parallel operation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2-week transition period per team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Workload validation on DGX before cloud decommission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Decision Point:</w:t>
      </w:r>
      <w:r>
        <w:rPr>
          <w:rFonts w:ascii="Calibri" w:hAnsi="Calibri"/>
          <w:sz w:val="24"/>
        </w:rPr>
        <w:t xml:space="preserve"> Team lead sign-off for each migration wave</w:t>
      </w:r>
    </w:p>
    <w:p>
      <w:pPr>
        <w:pStyle w:val="Heading2"/>
        <w:spacing w:before="240" w:after="120"/>
        <w:ind w:left="0"/>
      </w:pPr>
      <w:r>
        <w:t>9.5 Downtime Expectations</w:t>
      </w:r>
    </w:p>
    <w:p>
      <w:r>
        <w:rPr>
          <w:rFonts w:ascii="Calibri" w:hAnsi="Calibri"/>
          <w:sz w:val="24"/>
        </w:rPr>
        <w:t>Service availability impacts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Planned Downtime:</w:t>
      </w:r>
      <w:r>
        <w:rPr>
          <w:rFonts w:ascii="Calibri" w:hAnsi="Calibri"/>
          <w:sz w:val="24"/>
        </w:rPr>
        <w:t xml:space="preserve"> 4-hour maintenance windows for firmware updates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Unplanned Downtime:</w:t>
      </w:r>
      <w:r>
        <w:rPr>
          <w:rFonts w:ascii="Calibri" w:hAnsi="Calibri"/>
          <w:sz w:val="24"/>
        </w:rPr>
        <w:t xml:space="preserve"> Target &lt; 4 hours MTTR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Mitigation:</w:t>
      </w:r>
      <w:r>
        <w:rPr>
          <w:rFonts w:ascii="Calibri" w:hAnsi="Calibri"/>
          <w:sz w:val="24"/>
        </w:rPr>
        <w:t xml:space="preserve"> Spare node available for rapid replacement</w:t>
      </w:r>
    </w:p>
    <w:p>
      <w:pPr>
        <w:pStyle w:val="Heading2"/>
        <w:spacing w:before="240" w:after="120"/>
        <w:ind w:left="0"/>
      </w:pPr>
      <w:r>
        <w:t>9.6 Rollback Strategy</w:t>
      </w:r>
    </w:p>
    <w:p>
      <w:r>
        <w:rPr>
          <w:rFonts w:ascii="Calibri" w:hAnsi="Calibri"/>
          <w:sz w:val="24"/>
        </w:rPr>
        <w:t>Rollback procedures enable recovery from deployment issues.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Cloud GPU resources maintained during hypercare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DGX node isolation via Slurm for troubleshooting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Checkpoint-based training recovery for interrupted jobs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Maximum rollback: Return to cloud for affected workloads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Architecture Diagrams</w:t>
      </w:r>
    </w:p>
    <w:p>
      <w:r>
        <w:rPr>
          <w:rFonts w:ascii="Calibri" w:hAnsi="Calibri"/>
          <w:sz w:val="24"/>
        </w:rPr>
        <w:t>The following diagrams provide visual representation of the solution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 (included in Solution Architecture section)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InfiniBand Fabric Topology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VLAN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Architecture Diagram</w:t>
      </w:r>
    </w:p>
    <w:p>
      <w:pPr>
        <w:pStyle w:val="Heading2"/>
        <w:spacing w:before="240" w:after="120"/>
        <w:ind w:left="0"/>
      </w:pPr>
      <w:r>
        <w:t>10.2 Naming Conventions</w:t>
      </w:r>
    </w:p>
    <w:p>
      <w:r>
        <w:rPr>
          <w:rFonts w:ascii="Calibri" w:hAnsi="Calibri"/>
          <w:sz w:val="24"/>
        </w:rPr>
        <w:t>All resources follow standardized naming conventions for consistency.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DGX Nodes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dgx-{nn}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dgx-01, dgx-02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InfiniBand Switches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ib-sw-{nn}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ib-sw-01, ib-sw-02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Volumes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vol-{purpose}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vol-datasets, vol-checkpoints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 Partitions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{team}-{priority}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nlp-high, cv-normal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10.3 Tagging Standards</w:t>
      </w:r>
    </w:p>
    <w:p>
      <w:r>
        <w:rPr>
          <w:rFonts w:ascii="Calibri" w:hAnsi="Calibri"/>
          <w:sz w:val="24"/>
        </w:rPr>
        <w:t>Resource tagging enables cost allocation and operational automation.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 Values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production, development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llm-research, cv-training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nlp-team, cv-team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CostCenter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CC-AI-001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Tagging Standards</w:t>
      </w:r>
    </w:p>
    <w:p>
      <w:pPr>
        <w:pStyle w:val="Heading2"/>
        <w:spacing w:before="240" w:after="120"/>
        <w:ind w:left="0"/>
      </w:pPr>
      <w:r>
        <w:t>10.4 Risk Register</w:t>
      </w:r>
    </w:p>
    <w:p>
      <w:r>
        <w:rPr>
          <w:rFonts w:ascii="Calibri" w:hAnsi="Calibri"/>
          <w:sz w:val="24"/>
        </w:rPr>
        <w:t>The following risks have been identified with corresponding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Power capacity insufficient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Site assessment confirms 500 kW available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Cooling inadequate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Thermal survey validates capacity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InfiniBand cabling errors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Detailed cable mapping, NVIDIA validation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 configuration issues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Phased rollout, tuning during hypercare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adoption challenges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Comprehensive training program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10.5 Glossary</w:t>
      </w:r>
    </w:p>
    <w:p>
      <w:r>
        <w:rPr>
          <w:rFonts w:ascii="Calibri" w:hAnsi="Calibri"/>
          <w:sz w:val="24"/>
        </w:rPr>
        <w:t>The following terms and acronyms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DGX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NVIDIA's integrated AI system with GPUs, networking, and software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FP8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8-bit floating point precision for AI training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GPUDirect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NVIDIA technology for direct GPU memory access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HBM3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 Bandwidth Memory generation 3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InfiniBand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High-performance networking standard for HPC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NCCL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NVIDIA Collective Communications Library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NDR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Next Data Rate InfiniBand (400 Gbps)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NGC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NVIDIA GPU Cloud container registry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petaFLOPS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10^15 floating-point operations per second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RDMA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Remote Direct Memory Access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Slurm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Simple Linux Utility for Resource Management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NVIDIA DGX SuperPOD AI Infrastructure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