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NVIDIA DGX SuperPOD AI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NVIDIA DGX SuperPOD AI Infrastructure. The guide covers datacenter preparation, DGX H100 installation, NVIDIA Quantum-2 InfiniBand fabric configuration, Base Command storage deployment, and enterprise software stack setup including Slurm workload manager and NGC containers.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for deploying the 8-node DGX SuperPOD with 64 H100 GPUs, InfiniBand fabric, and enterprise AI platform.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NVIDIA DGX SuperPOD Reference Architecture guidelines with Ansible automation for configuration management, NVIDIA-provided tools for hardware validation, and enterprise integration for authentication and monitoring.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DGX configuration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2.14+,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Validation and automation scripts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3.10+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administration scripts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Tools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DGX OS included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DGX OS 6.0+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this implementation guide.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8x DGX H100 systems with hardware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Quantum-2 InfiniBand 400 Gbps fabric (4x QM9700 switches)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Base Command 1 PB NVMe storage cluster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Slurm workload manager with GPU-aware scheduling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NGC container runtime and AI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DCGM monitoring with Prometheus/Grafana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LDAP/AD integration for user authentication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this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Datacenter facilities upgrades (power/cooling managed separately)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 2 expansion planning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Site Validation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survey complete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DGX Hardware Installation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nodes powered 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InfiniBand Fabric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Fabric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&amp; Software Stack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stack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benchmarks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&amp; Hypercare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self-sufficient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DGX SuperPOD deployment.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2.14 - Configuration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3.10 -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SSH Client</w:t>
      </w:r>
      <w:r>
        <w:rPr>
          <w:rFonts w:ascii="Calibri" w:hAnsi="Calibri"/>
          <w:sz w:val="24"/>
        </w:rPr>
        <w:t xml:space="preserve"> - Remote access to DGX nodes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Version control for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ibstat/perftest</w:t>
      </w:r>
      <w:r>
        <w:rPr>
          <w:rFonts w:ascii="Calibri" w:hAnsi="Calibri"/>
          <w:sz w:val="24"/>
        </w:rPr>
        <w:t xml:space="preserve"> - InfiniBand validation tools</w:t>
      </w:r>
    </w:p>
    <w:p>
      <w:pPr>
        <w:pStyle w:val="Heading3"/>
        <w:spacing w:before="160" w:after="120"/>
        <w:ind w:left="0"/>
      </w:pPr>
      <w:r>
        <w:t>2.1.2 Ansible Installation</w:t>
      </w:r>
    </w:p>
    <w:p>
      <w:r>
        <w:rPr>
          <w:rFonts w:ascii="Calibri" w:hAnsi="Calibri"/>
          <w:sz w:val="24"/>
        </w:rPr>
        <w:t>Install Ansible for DGX configuration management.</w:t>
      </w:r>
    </w:p>
    <w:p>
      <w:pPr>
        <w:pStyle w:val="Heading3"/>
        <w:spacing w:before="160" w:after="120"/>
        <w:ind w:left="0"/>
      </w:pPr>
      <w:r>
        <w:t>2.1.3 Python Environment Setup</w:t>
      </w:r>
    </w:p>
    <w:p>
      <w:r>
        <w:rPr>
          <w:rFonts w:ascii="Calibri" w:hAnsi="Calibri"/>
          <w:sz w:val="24"/>
        </w:rPr>
        <w:t>Set up Python environment for automation scripts.</w:t>
      </w:r>
    </w:p>
    <w:p>
      <w:pPr>
        <w:pStyle w:val="Heading2"/>
        <w:spacing w:before="240" w:after="120"/>
        <w:ind w:left="0"/>
      </w:pPr>
      <w:r>
        <w:t>2.2 Datacenter Requirements</w:t>
      </w:r>
    </w:p>
    <w:p>
      <w:r>
        <w:rPr>
          <w:rFonts w:ascii="Calibri" w:hAnsi="Calibri"/>
          <w:sz w:val="24"/>
        </w:rPr>
        <w:t>Verify the following datacenter prerequisites before hardware delivery.</w:t>
      </w:r>
    </w:p>
    <w:p>
      <w:pPr>
        <w:pStyle w:val="Heading3"/>
        <w:spacing w:before="160" w:after="120"/>
        <w:ind w:left="0"/>
      </w:pPr>
      <w:r>
        <w:t>2.2.1 Power Requirements</w:t>
      </w:r>
    </w:p>
    <w:p>
      <w:pPr>
        <w:pStyle w:val="Heading3"/>
        <w:spacing w:before="160" w:after="120"/>
        <w:ind w:left="0"/>
      </w:pPr>
      <w:r>
        <w:t>2.2.2 Cooling Requirements</w:t>
      </w:r>
    </w:p>
    <w:p>
      <w:pPr>
        <w:pStyle w:val="Heading3"/>
        <w:spacing w:before="160" w:after="120"/>
        <w:ind w:left="0"/>
      </w:pPr>
      <w:r>
        <w:t>2.2.3 Network Requirements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hardware installation.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Power capacity confirmed (500 kW available)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Cooling capacity confirmed (500 kW thermal)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Rack space available (4x 42U racks)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Management network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LDAP/AD connectivity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DNS and NTP servers accessible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keys generated for automation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the deployment environment and DGX node configuration.</w:t>
      </w:r>
    </w:p>
    <w:p>
      <w:pPr>
        <w:pStyle w:val="Heading2"/>
        <w:spacing w:before="240" w:after="120"/>
        <w:ind w:left="0"/>
      </w:pPr>
      <w:r>
        <w:t>3.1 Ansible Directory Structure</w:t>
      </w:r>
    </w:p>
    <w:p>
      <w:r>
        <w:rPr>
          <w:rFonts w:ascii="Calibri" w:hAnsi="Calibri"/>
          <w:sz w:val="24"/>
        </w:rPr>
        <w:t>The Ansible automation follows a structured layout for DGX configuration.</w:t>
      </w:r>
    </w:p>
    <w:p>
      <w:pPr>
        <w:pStyle w:val="Heading2"/>
        <w:spacing w:before="240" w:after="120"/>
        <w:ind w:left="0"/>
      </w:pPr>
      <w:r>
        <w:t>3.2 Inventory Configuration</w:t>
      </w:r>
    </w:p>
    <w:p>
      <w:r>
        <w:rPr>
          <w:rFonts w:ascii="Calibri" w:hAnsi="Calibri"/>
          <w:sz w:val="24"/>
        </w:rPr>
        <w:t>Configure the Ansible inventory with DGX node details.</w:t>
      </w:r>
    </w:p>
    <w:p>
      <w:pPr>
        <w:pStyle w:val="Heading2"/>
        <w:spacing w:before="240" w:after="120"/>
        <w:ind w:left="0"/>
      </w:pPr>
      <w:r>
        <w:t>3.3 SSH Key Setup</w:t>
      </w:r>
    </w:p>
    <w:p>
      <w:r>
        <w:rPr>
          <w:rFonts w:ascii="Calibri" w:hAnsi="Calibri"/>
          <w:sz w:val="24"/>
        </w:rPr>
        <w:t>Configure SSH key-based authentication for Ansible.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DGX SuperPOD infrastructure following NVIDIA best practices.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VLAN, BMC Network, InfiniBand Fabric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SSH Hardening, Firewall Rules, LDAP Integration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DGX H100 Installation, InfiniBand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DCGM, Prometheus, Grafana, Alerting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pPr>
        <w:pStyle w:val="Heading3"/>
        <w:spacing w:before="160" w:after="120"/>
        <w:ind w:left="0"/>
      </w:pPr>
      <w:r>
        <w:t>4.2.1 Management Network Configuration</w:t>
      </w:r>
    </w:p>
    <w:p>
      <w:pPr>
        <w:pStyle w:val="Heading3"/>
        <w:spacing w:before="160" w:after="120"/>
        <w:ind w:left="0"/>
      </w:pPr>
      <w:r>
        <w:t>4.2.2 BMC Network Configuration</w:t>
      </w:r>
    </w:p>
    <w:p>
      <w:pPr>
        <w:pStyle w:val="Heading3"/>
        <w:spacing w:before="160" w:after="120"/>
        <w:ind w:left="0"/>
      </w:pPr>
      <w:r>
        <w:t>4.2.3 InfiniBand Fabric Setup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pPr>
        <w:pStyle w:val="Heading3"/>
        <w:spacing w:before="160" w:after="120"/>
        <w:ind w:left="0"/>
      </w:pPr>
      <w:r>
        <w:t>4.3.1 SSH Hardening</w:t>
      </w:r>
    </w:p>
    <w:p>
      <w:pPr>
        <w:pStyle w:val="Heading3"/>
        <w:spacing w:before="160" w:after="120"/>
        <w:ind w:left="0"/>
      </w:pPr>
      <w:r>
        <w:t>4.3.2 Firewall Configuration</w:t>
      </w:r>
    </w:p>
    <w:p>
      <w:pPr>
        <w:pStyle w:val="Heading3"/>
        <w:spacing w:before="160" w:after="120"/>
        <w:ind w:left="0"/>
      </w:pPr>
      <w:r>
        <w:t>4.3.3 LDAP Integration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pPr>
        <w:pStyle w:val="Heading3"/>
        <w:spacing w:before="160" w:after="120"/>
        <w:ind w:left="0"/>
      </w:pPr>
      <w:r>
        <w:t>4.4.1 DGX H100 Hardware Installation</w:t>
      </w:r>
    </w:p>
    <w:p>
      <w:pPr>
        <w:pStyle w:val="Heading4"/>
        <w:spacing w:before="160" w:after="120"/>
        <w:ind w:left="0"/>
      </w:pPr>
      <w:r>
        <w:t>4.4.1.1 Physical Installation</w:t>
      </w:r>
    </w:p>
    <w:p>
      <w:pPr>
        <w:pStyle w:val="Heading3"/>
        <w:spacing w:before="160" w:after="120"/>
        <w:ind w:left="0"/>
      </w:pPr>
      <w:r>
        <w:t>4.4.2 Initial Boot and BIOS Validation</w:t>
      </w:r>
    </w:p>
    <w:p>
      <w:pPr>
        <w:pStyle w:val="Heading3"/>
        <w:spacing w:before="160" w:after="120"/>
        <w:ind w:left="0"/>
      </w:pPr>
      <w:r>
        <w:t>4.4.3 DGX OS Validation</w:t>
      </w:r>
    </w:p>
    <w:p>
      <w:pPr>
        <w:pStyle w:val="Heading3"/>
        <w:spacing w:before="160" w:after="120"/>
        <w:ind w:left="0"/>
      </w:pPr>
      <w:r>
        <w:t>4.4.4 InfiniBand Fabric Validation</w:t>
      </w:r>
    </w:p>
    <w:p>
      <w:pPr>
        <w:pStyle w:val="Heading3"/>
        <w:spacing w:before="160" w:after="120"/>
        <w:ind w:left="0"/>
      </w:pPr>
      <w:r>
        <w:t>4.4.5 Fabric Cabling Validation</w:t>
      </w:r>
    </w:p>
    <w:p>
      <w:pPr>
        <w:pStyle w:val="Heading3"/>
        <w:spacing w:before="160" w:after="120"/>
        <w:ind w:left="0"/>
      </w:pPr>
      <w:r>
        <w:t>4.4.6 InfiniBand Performance Validation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pPr>
        <w:pStyle w:val="Heading3"/>
        <w:spacing w:before="160" w:after="120"/>
        <w:ind w:left="0"/>
      </w:pPr>
      <w:r>
        <w:t>4.5.1 DCGM Installation</w:t>
      </w:r>
    </w:p>
    <w:p>
      <w:pPr>
        <w:pStyle w:val="Heading3"/>
        <w:spacing w:before="160" w:after="120"/>
        <w:ind w:left="0"/>
      </w:pPr>
      <w:r>
        <w:t>4.5.2 Prometheus Setup</w:t>
      </w:r>
    </w:p>
    <w:p>
      <w:pPr>
        <w:pStyle w:val="Heading3"/>
        <w:spacing w:before="160" w:after="120"/>
        <w:ind w:left="0"/>
      </w:pPr>
      <w:r>
        <w:t>4.5.3 Grafana Setup</w:t>
      </w:r>
    </w:p>
    <w:p>
      <w:pPr>
        <w:pStyle w:val="Heading3"/>
        <w:spacing w:before="160" w:after="120"/>
        <w:ind w:left="0"/>
      </w:pPr>
      <w:r>
        <w:t>4.5.4 DCGM Exporter Deployment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Slurm workload manager and AI software stack deployment.</w:t>
      </w:r>
    </w:p>
    <w:p>
      <w:pPr>
        <w:pStyle w:val="Heading2"/>
        <w:spacing w:before="240" w:after="120"/>
        <w:ind w:left="0"/>
      </w:pPr>
      <w:r>
        <w:t>5.1 Slurm Installation</w:t>
      </w:r>
    </w:p>
    <w:p>
      <w:pPr>
        <w:pStyle w:val="Heading3"/>
        <w:spacing w:before="160" w:after="120"/>
        <w:ind w:left="0"/>
      </w:pPr>
      <w:r>
        <w:t>5.1.1 Slurm Controller Setup</w:t>
      </w:r>
    </w:p>
    <w:p>
      <w:pPr>
        <w:pStyle w:val="Heading3"/>
        <w:spacing w:before="160" w:after="120"/>
        <w:ind w:left="0"/>
      </w:pPr>
      <w:r>
        <w:t>5.1.2 Slurm Configuration</w:t>
      </w:r>
    </w:p>
    <w:p>
      <w:pPr>
        <w:pStyle w:val="Heading3"/>
        <w:spacing w:before="160" w:after="120"/>
        <w:ind w:left="0"/>
      </w:pPr>
      <w:r>
        <w:t>5.1.3 Slurm Compute Node Setup</w:t>
      </w:r>
    </w:p>
    <w:p>
      <w:pPr>
        <w:pStyle w:val="Heading3"/>
        <w:spacing w:before="160" w:after="120"/>
        <w:ind w:left="0"/>
      </w:pPr>
      <w:r>
        <w:t>5.1.4 Slurm Validation</w:t>
      </w:r>
    </w:p>
    <w:p>
      <w:pPr>
        <w:pStyle w:val="Heading2"/>
        <w:spacing w:before="240" w:after="120"/>
        <w:ind w:left="0"/>
      </w:pPr>
      <w:r>
        <w:t>5.2 NGC Container Setup</w:t>
      </w:r>
    </w:p>
    <w:p>
      <w:pPr>
        <w:pStyle w:val="Heading3"/>
        <w:spacing w:before="160" w:after="120"/>
        <w:ind w:left="0"/>
      </w:pPr>
      <w:r>
        <w:t>5.2.1 Container Runtime Configuration</w:t>
      </w:r>
    </w:p>
    <w:p>
      <w:pPr>
        <w:pStyle w:val="Heading3"/>
        <w:spacing w:before="160" w:after="120"/>
        <w:ind w:left="0"/>
      </w:pPr>
      <w:r>
        <w:t>5.2.2 Singularity Configuration for Slurm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end-to-end testing of the DGX SuperPOD deployment.</w:t>
      </w:r>
    </w:p>
    <w:p>
      <w:pPr>
        <w:pStyle w:val="Heading2"/>
        <w:spacing w:before="240" w:after="120"/>
        <w:ind w:left="0"/>
      </w:pPr>
      <w:r>
        <w:t>6.1 Functional Testing</w:t>
      </w:r>
    </w:p>
    <w:p>
      <w:pPr>
        <w:pStyle w:val="Heading3"/>
        <w:spacing w:before="160" w:after="120"/>
        <w:ind w:left="0"/>
      </w:pPr>
      <w:r>
        <w:t>6.1.1 GPU Validation Tests</w:t>
      </w:r>
    </w:p>
    <w:p>
      <w:pPr>
        <w:pStyle w:val="Heading3"/>
        <w:spacing w:before="160" w:after="120"/>
        <w:ind w:left="0"/>
      </w:pPr>
      <w:r>
        <w:t>6.1.2 Multi-Node Communication Test</w:t>
      </w:r>
    </w:p>
    <w:p>
      <w:pPr>
        <w:pStyle w:val="Heading3"/>
        <w:spacing w:before="160" w:after="120"/>
        <w:ind w:left="0"/>
      </w:pPr>
      <w:r>
        <w:t>6.1.3 Storage Performance Test</w:t>
      </w:r>
    </w:p>
    <w:p>
      <w:pPr>
        <w:pStyle w:val="Heading2"/>
        <w:spacing w:before="240" w:after="120"/>
        <w:ind w:left="0"/>
      </w:pPr>
      <w:r>
        <w:t>6.2 Performance Validation</w:t>
      </w:r>
    </w:p>
    <w:p>
      <w:pPr>
        <w:pStyle w:val="Heading3"/>
        <w:spacing w:before="160" w:after="120"/>
        <w:ind w:left="0"/>
      </w:pPr>
      <w:r>
        <w:t>6.2.1 MLPerf Benchmark Execution</w:t>
      </w:r>
    </w:p>
    <w:p>
      <w:pPr>
        <w:pStyle w:val="Heading3"/>
        <w:spacing w:before="160" w:after="120"/>
        <w:ind w:left="0"/>
      </w:pPr>
      <w:r>
        <w:t>6.2.2 Distributed Training Test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testing and hardening validation.</w:t>
      </w:r>
    </w:p>
    <w:p>
      <w:pPr>
        <w:pStyle w:val="Heading2"/>
        <w:spacing w:before="240" w:after="120"/>
        <w:ind w:left="0"/>
      </w:pPr>
      <w:r>
        <w:t>7.1 Access Control Validation</w:t>
      </w:r>
    </w:p>
    <w:p>
      <w:pPr>
        <w:pStyle w:val="Heading3"/>
        <w:spacing w:before="160" w:after="120"/>
        <w:ind w:left="0"/>
      </w:pPr>
      <w:r>
        <w:t>7.1.1 SSH Key Authentication Test</w:t>
      </w:r>
    </w:p>
    <w:p>
      <w:pPr>
        <w:pStyle w:val="Heading3"/>
        <w:spacing w:before="160" w:after="120"/>
        <w:ind w:left="0"/>
      </w:pPr>
      <w:r>
        <w:t>7.1.2 LDAP Integration Test</w:t>
      </w:r>
    </w:p>
    <w:p>
      <w:pPr>
        <w:pStyle w:val="Heading3"/>
        <w:spacing w:before="160" w:after="120"/>
        <w:ind w:left="0"/>
      </w:pPr>
      <w:r>
        <w:t>7.1.3 Slurm Access Control Test</w:t>
      </w:r>
    </w:p>
    <w:p>
      <w:pPr>
        <w:pStyle w:val="Heading2"/>
        <w:spacing w:before="240" w:after="120"/>
        <w:ind w:left="0"/>
      </w:pPr>
      <w:r>
        <w:t>7.2 Network Security Validation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the transition of workloads from cloud to DGX SuperPOD.</w:t>
      </w:r>
    </w:p>
    <w:p>
      <w:pPr>
        <w:pStyle w:val="Heading2"/>
        <w:spacing w:before="240" w:after="120"/>
        <w:ind w:left="0"/>
      </w:pPr>
      <w:r>
        <w:t>8.1 Migration Preparation</w:t>
      </w:r>
    </w:p>
    <w:p>
      <w:pPr>
        <w:pStyle w:val="Heading3"/>
        <w:spacing w:before="160" w:after="120"/>
        <w:ind w:left="0"/>
      </w:pPr>
      <w:r>
        <w:t>8.1.1 Dataset Migration</w:t>
      </w:r>
    </w:p>
    <w:p>
      <w:pPr>
        <w:pStyle w:val="Heading3"/>
        <w:spacing w:before="160" w:after="120"/>
        <w:ind w:left="0"/>
      </w:pPr>
      <w:r>
        <w:t>8.1.2 User Migration</w:t>
      </w:r>
    </w:p>
    <w:p>
      <w:pPr>
        <w:pStyle w:val="Heading2"/>
        <w:spacing w:before="240" w:after="120"/>
        <w:ind w:left="0"/>
      </w:pPr>
      <w:r>
        <w:t>8.2 Cutover Execution</w:t>
      </w:r>
    </w:p>
    <w:p>
      <w:pPr>
        <w:pStyle w:val="Heading3"/>
        <w:spacing w:before="160" w:after="120"/>
        <w:ind w:left="0"/>
      </w:pPr>
      <w:r>
        <w:t>8.2.1 Go-Live Checklist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to steady-state operations.</w:t>
      </w:r>
    </w:p>
    <w:p>
      <w:pPr>
        <w:pStyle w:val="Heading2"/>
        <w:spacing w:before="240" w:after="120"/>
        <w:ind w:left="0"/>
      </w:pPr>
      <w:r>
        <w:t>9.1 Operations Documentation</w:t>
      </w:r>
    </w:p>
    <w:p>
      <w:pPr>
        <w:pStyle w:val="Heading3"/>
        <w:spacing w:before="160" w:after="120"/>
        <w:ind w:left="0"/>
      </w:pPr>
      <w:r>
        <w:t>9.1.1 Runbook Handover</w:t>
      </w:r>
    </w:p>
    <w:p>
      <w:pPr>
        <w:pStyle w:val="Heading3"/>
        <w:spacing w:before="160" w:after="120"/>
        <w:ind w:left="0"/>
      </w:pPr>
      <w:r>
        <w:t>9.1.2 Monitoring Handover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covers the training delivered to administrators and users.</w:t>
      </w:r>
    </w:p>
    <w:p>
      <w:pPr>
        <w:pStyle w:val="Heading2"/>
        <w:spacing w:before="240" w:after="120"/>
        <w:ind w:left="0"/>
      </w:pPr>
      <w:r>
        <w:t>10.1 Administrator Training</w:t>
      </w:r>
    </w:p>
    <w:p>
      <w:pPr>
        <w:pStyle w:val="Heading3"/>
        <w:spacing w:before="160" w:after="120"/>
        <w:ind w:left="0"/>
      </w:pPr>
      <w:r>
        <w:t>10.1.1 DGX Administration (4 hours)</w:t>
      </w:r>
    </w:p>
    <w:p>
      <w:pPr>
        <w:pStyle w:val="Heading2"/>
        <w:spacing w:before="240" w:after="120"/>
        <w:ind w:left="0"/>
      </w:pPr>
      <w:r>
        <w:t>10.2 Data Scientist Training</w:t>
      </w:r>
    </w:p>
    <w:p>
      <w:pPr>
        <w:pStyle w:val="Heading3"/>
        <w:spacing w:before="160" w:after="120"/>
        <w:ind w:left="0"/>
      </w:pPr>
      <w:r>
        <w:t>10.2.1 User Onboarding (2 hours)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Troubleshooting Guide</w:t>
      </w:r>
    </w:p>
    <w:p>
      <w:pPr>
        <w:pStyle w:val="Heading3"/>
        <w:spacing w:before="160" w:after="120"/>
        <w:ind w:left="0"/>
      </w:pPr>
      <w:r>
        <w:t>11.1.1 Common Issues and Resolutions</w:t>
      </w:r>
    </w:p>
    <w:p>
      <w:pPr>
        <w:pStyle w:val="Heading2"/>
        <w:spacing w:before="240" w:after="120"/>
        <w:ind w:left="0"/>
      </w:pPr>
      <w:r>
        <w:t>11.2 Reference Commands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NVIDIA DGX SuperPOD AI Infrastructure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