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Documentation Deliverables</w:t>
        <w:tab/>
        <w:t>4</w:t>
        <w:br/>
      </w:r>
      <w:r>
        <w:rPr>
          <w:rFonts w:ascii="Calibri" w:hAnsi="Calibri"/>
          <w:sz w:val="24"/>
        </w:rPr>
        <w:t>Table 3: System Deliverables</w:t>
        <w:tab/>
        <w:t>5</w:t>
        <w:br/>
      </w:r>
      <w:r>
        <w:rPr>
          <w:rFonts w:ascii="Calibri" w:hAnsi="Calibri"/>
          <w:sz w:val="24"/>
        </w:rPr>
        <w:t>Table 4: Milestones</w:t>
        <w:tab/>
        <w:t>6</w:t>
        <w:br/>
      </w:r>
      <w:r>
        <w:rPr>
          <w:rFonts w:ascii="Calibri" w:hAnsi="Calibri"/>
          <w:sz w:val="24"/>
        </w:rPr>
        <w:t>Table 5: Roles and Responsibilities (RACI Matrix)</w:t>
        <w:tab/>
        <w:t>7</w:t>
        <w:br/>
      </w:r>
      <w:r>
        <w:rPr>
          <w:rFonts w:ascii="Calibri" w:hAnsi="Calibri"/>
          <w:sz w:val="24"/>
        </w:rPr>
        <w:t>Table 6: Total Investment</w:t>
        <w:tab/>
        <w:t>8</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pilot light</w:t>
      </w:r>
      <w:r>
        <w:rPr>
          <w:rFonts w:ascii="Calibri" w:hAnsi="Calibri"/>
          <w:sz w:val="22"/>
        </w:rPr>
        <w:t xml:space="preserve"> AWS Disaster Recovery solution for [CLIENT_NAME]'s web application infrastructure. The project will deliver business continuity assurance for 5-10 critical applications through automated failover capabilities, cross-region backups, and comprehensive disaster recovery procedures.</w:t>
      </w:r>
    </w:p>
    <w:p>
      <w:pPr>
        <w:spacing w:after="160"/>
      </w:pPr>
      <w:r>
        <w:rPr>
          <w:rFonts w:ascii="Calibri" w:hAnsi="Calibri"/>
          <w:b/>
          <w:sz w:val="22"/>
        </w:rPr>
        <w:t>Small Scope DR Deployment:</w:t>
      </w:r>
    </w:p>
    <w:p>
      <w:pPr>
        <w:spacing w:after="80"/>
        <w:ind w:left="720" w:hanging="360"/>
      </w:pPr>
      <w:r>
        <w:rPr>
          <w:rFonts w:ascii="Calibri" w:hAnsi="Calibri"/>
          <w:sz w:val="22"/>
        </w:rPr>
        <w:t xml:space="preserve">• </w:t>
      </w:r>
      <w:r>
        <w:rPr>
          <w:rFonts w:ascii="Calibri" w:hAnsi="Calibri"/>
          <w:b/>
          <w:sz w:val="22"/>
        </w:rPr>
        <w:t>DR Strategy:</w:t>
      </w:r>
      <w:r>
        <w:rPr>
          <w:rFonts w:ascii="Calibri" w:hAnsi="Calibri"/>
          <w:sz w:val="22"/>
        </w:rPr>
        <w:t xml:space="preserve"> Pilot light (cost-optimized standby with on-demand recovery)</w:t>
      </w:r>
    </w:p>
    <w:p>
      <w:pPr>
        <w:spacing w:after="80"/>
        <w:ind w:left="720" w:hanging="360"/>
      </w:pPr>
      <w:r>
        <w:rPr>
          <w:rFonts w:ascii="Calibri" w:hAnsi="Calibri"/>
          <w:sz w:val="22"/>
        </w:rPr>
        <w:t xml:space="preserve">• </w:t>
      </w:r>
      <w:r>
        <w:rPr>
          <w:rFonts w:ascii="Calibri" w:hAnsi="Calibri"/>
          <w:b/>
          <w:sz w:val="22"/>
        </w:rPr>
        <w:t>RTO Target:</w:t>
      </w:r>
      <w:r>
        <w:rPr>
          <w:rFonts w:ascii="Calibri" w:hAnsi="Calibri"/>
          <w:sz w:val="22"/>
        </w:rPr>
        <w:t xml:space="preserve"> 4 hours (time to restore operations after disaster)</w:t>
      </w:r>
    </w:p>
    <w:p>
      <w:pPr>
        <w:spacing w:after="80"/>
        <w:ind w:left="720" w:hanging="360"/>
      </w:pPr>
      <w:r>
        <w:rPr>
          <w:rFonts w:ascii="Calibri" w:hAnsi="Calibri"/>
          <w:sz w:val="22"/>
        </w:rPr>
        <w:t xml:space="preserve">• </w:t>
      </w:r>
      <w:r>
        <w:rPr>
          <w:rFonts w:ascii="Calibri" w:hAnsi="Calibri"/>
          <w:b/>
          <w:sz w:val="22"/>
        </w:rPr>
        <w:t>RPO Target:</w:t>
      </w:r>
      <w:r>
        <w:rPr>
          <w:rFonts w:ascii="Calibri" w:hAnsi="Calibri"/>
          <w:sz w:val="22"/>
        </w:rPr>
        <w:t xml:space="preserve"> 1 hour (acceptable data loss window)</w:t>
      </w:r>
    </w:p>
    <w:p>
      <w:pPr>
        <w:spacing w:after="80"/>
        <w:ind w:left="720" w:hanging="360"/>
      </w:pPr>
      <w:r>
        <w:rPr>
          <w:rFonts w:ascii="Calibri" w:hAnsi="Calibri"/>
          <w:sz w:val="22"/>
        </w:rPr>
        <w:t xml:space="preserve">• </w:t>
      </w:r>
      <w:r>
        <w:rPr>
          <w:rFonts w:ascii="Calibri" w:hAnsi="Calibri"/>
          <w:b/>
          <w:sz w:val="22"/>
        </w:rPr>
        <w:t>Application Scope:</w:t>
      </w:r>
      <w:r>
        <w:rPr>
          <w:rFonts w:ascii="Calibri" w:hAnsi="Calibri"/>
          <w:sz w:val="22"/>
        </w:rPr>
        <w:t xml:space="preserve"> 5-10 critical web applications</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$133,229 over 3 years ($106,743 Year 1 implementation)</w:t>
      </w:r>
    </w:p>
    <w:p>
      <w:pPr>
        <w:pStyle w:val="Heading2"/>
        <w:spacing w:before="240" w:after="120"/>
        <w:ind w:left="0" w:firstLine="0"/>
      </w:pPr>
      <w:r>
        <w:t>1.1 Business Objectives</w:t>
      </w:r>
    </w:p>
    <w:p>
      <w:pPr>
        <w:spacing w:after="80"/>
        <w:ind w:left="720" w:hanging="360"/>
      </w:pPr>
      <w:r>
        <w:rPr>
          <w:rFonts w:ascii="Calibri" w:hAnsi="Calibri"/>
          <w:sz w:val="22"/>
        </w:rPr>
        <w:t xml:space="preserve">• </w:t>
      </w:r>
      <w:r>
        <w:rPr>
          <w:rFonts w:ascii="Calibri" w:hAnsi="Calibri"/>
          <w:b/>
          <w:sz w:val="22"/>
        </w:rPr>
        <w:t>Primary Goal:</w:t>
      </w:r>
      <w:r>
        <w:rPr>
          <w:rFonts w:ascii="Calibri" w:hAnsi="Calibri"/>
          <w:sz w:val="22"/>
        </w:rPr>
        <w:t xml:space="preserve"> Achieve 4-hour RTO and 1-hour RPO for critical web applications through pilot light DR</w:t>
      </w:r>
    </w:p>
    <w:p>
      <w:pPr>
        <w:spacing w:after="80"/>
        <w:ind w:left="720" w:hanging="360"/>
      </w:pPr>
      <w:r>
        <w:rPr>
          <w:rFonts w:ascii="Calibri" w:hAnsi="Calibri"/>
          <w:sz w:val="22"/>
        </w:rPr>
        <w:t xml:space="preserve">• </w:t>
      </w:r>
      <w:r>
        <w:rPr>
          <w:rFonts w:ascii="Calibri" w:hAnsi="Calibri"/>
          <w:b/>
          <w:sz w:val="22"/>
        </w:rPr>
        <w:t>Success Metrics:</w:t>
      </w:r>
      <w:r>
        <w:rPr>
          <w:rFonts w:ascii="Calibri" w:hAnsi="Calibri"/>
          <w:sz w:val="22"/>
        </w:rPr>
        <w:t xml:space="preserve"> Documented and tested recovery procedures, 95% success rate on quarterly DR tests, automated backup validation</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Risk mitigation - compare $107K investment to cost of 4+ hours downtime for revenue-generating applications</w:t>
      </w:r>
    </w:p>
    <w:p>
      <w:pPr>
        <w:pStyle w:val="Heading2"/>
        <w:spacing w:before="240" w:after="120"/>
        <w:ind w:left="0" w:firstLine="0"/>
      </w:pPr>
      <w:r>
        <w:t>1.2 Project Duration</w:t>
      </w:r>
    </w:p>
    <w:p>
      <w:pPr>
        <w:pStyle w:val="Heading1"/>
        <w:spacing w:before="160" w:after="120"/>
        <w:ind w:left="0" w:firstLine="0"/>
      </w:pPr>
      <w:r>
        <w:t>2 Background &amp; Objectives</w:t>
      </w:r>
    </w:p>
    <w:p>
      <w:pPr>
        <w:spacing w:after="160"/>
      </w:pPr>
      <w:r>
        <w:rPr>
          <w:rFonts w:ascii="Calibri" w:hAnsi="Calibri"/>
          <w:sz w:val="22"/>
        </w:rPr>
        <w:t>Background information and business objectives.</w:t>
      </w:r>
    </w:p>
    <w:p>
      <w:pPr>
        <w:pStyle w:val="Heading1"/>
        <w:spacing w:before="160" w:after="120"/>
        <w:ind w:left="0" w:firstLine="0"/>
      </w:pPr>
      <w:r>
        <w:t>3 Scope of Work</w:t>
      </w:r>
    </w:p>
    <w:p>
      <w:pPr>
        <w:pStyle w:val="Heading2"/>
        <w:spacing w:before="240" w:after="120"/>
        <w:ind w:left="0" w:firstLine="0"/>
      </w:pPr>
      <w:r>
        <w:t>3.1 In-Scope Activities</w:t>
      </w:r>
    </w:p>
    <w:p>
      <w:pPr>
        <w:spacing w:after="160"/>
      </w:pPr>
      <w:r>
        <w:rPr>
          <w:rFonts w:ascii="Calibri" w:hAnsi="Calibri"/>
          <w:sz w:val="22"/>
        </w:rPr>
        <w:t>The following disaster recovery services and deliverables are included in this SOW:</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Tiers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3-tier web application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RTO/RPO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 4 hours RPO 1 hour</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Replication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Aurora Global Database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app database + S3</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200 concurrent users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(end-user admin ops)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Size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GB</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Backup Retention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30 days retention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AWS Region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us-east-1</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AWS Region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us-west-2</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Pilot Light DR</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at rest/transit IAM</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 Type II</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failover &lt;15 min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Recovery Testing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Quarterly DR drills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environments (dev staging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3"/>
        <w:spacing w:before="160" w:after="120"/>
        <w:ind w:left="0" w:firstLine="0"/>
      </w:pPr>
      <w:r>
        <w:t>3.1.2 Discovery &amp; Business Continuity Planning Phase</w:t>
      </w:r>
    </w:p>
    <w:p>
      <w:pPr>
        <w:spacing w:after="80"/>
        <w:ind w:left="720" w:hanging="360"/>
      </w:pPr>
      <w:r>
        <w:rPr>
          <w:rFonts w:ascii="Calibri" w:hAnsi="Calibri"/>
          <w:sz w:val="22"/>
        </w:rPr>
        <w:t xml:space="preserve">• </w:t>
      </w:r>
      <w:r>
        <w:rPr>
          <w:rFonts w:ascii="Calibri" w:hAnsi="Calibri"/>
          <w:sz w:val="22"/>
        </w:rPr>
        <w:t>Business impact assessment and critical application prioritization</w:t>
      </w:r>
    </w:p>
    <w:p>
      <w:pPr>
        <w:spacing w:after="80"/>
        <w:ind w:left="720" w:hanging="360"/>
      </w:pPr>
      <w:r>
        <w:rPr>
          <w:rFonts w:ascii="Calibri" w:hAnsi="Calibri"/>
          <w:sz w:val="22"/>
        </w:rPr>
        <w:t xml:space="preserve">• </w:t>
      </w:r>
      <w:r>
        <w:rPr>
          <w:rFonts w:ascii="Calibri" w:hAnsi="Calibri"/>
          <w:sz w:val="22"/>
        </w:rPr>
        <w:t>Current state disaster recovery capability evaluation</w:t>
      </w:r>
    </w:p>
    <w:p>
      <w:pPr>
        <w:spacing w:after="80"/>
        <w:ind w:left="720" w:hanging="360"/>
      </w:pPr>
      <w:r>
        <w:rPr>
          <w:rFonts w:ascii="Calibri" w:hAnsi="Calibri"/>
          <w:sz w:val="22"/>
        </w:rPr>
        <w:t xml:space="preserve">• </w:t>
      </w:r>
      <w:r>
        <w:rPr>
          <w:rFonts w:ascii="Calibri" w:hAnsi="Calibri"/>
          <w:sz w:val="22"/>
        </w:rPr>
        <w:t>RTO/RPO requirements analysis and validation</w:t>
      </w:r>
    </w:p>
    <w:p>
      <w:pPr>
        <w:spacing w:after="80"/>
        <w:ind w:left="720" w:hanging="360"/>
      </w:pPr>
      <w:r>
        <w:rPr>
          <w:rFonts w:ascii="Calibri" w:hAnsi="Calibri"/>
          <w:sz w:val="22"/>
        </w:rPr>
        <w:t xml:space="preserve">• </w:t>
      </w:r>
      <w:r>
        <w:rPr>
          <w:rFonts w:ascii="Calibri" w:hAnsi="Calibri"/>
          <w:sz w:val="22"/>
        </w:rPr>
        <w:t>Compliance and regulatory requirement assessment</w:t>
      </w:r>
    </w:p>
    <w:p>
      <w:pPr>
        <w:spacing w:after="80"/>
        <w:ind w:left="720" w:hanging="360"/>
      </w:pPr>
      <w:r>
        <w:rPr>
          <w:rFonts w:ascii="Calibri" w:hAnsi="Calibri"/>
          <w:sz w:val="22"/>
        </w:rPr>
        <w:t xml:space="preserve">• </w:t>
      </w:r>
      <w:r>
        <w:rPr>
          <w:rFonts w:ascii="Calibri" w:hAnsi="Calibri"/>
          <w:sz w:val="22"/>
        </w:rPr>
        <w:t>Disaster scenario modeling and risk assessment</w:t>
      </w:r>
    </w:p>
    <w:p>
      <w:pPr>
        <w:spacing w:after="80"/>
        <w:ind w:left="720" w:hanging="360"/>
      </w:pPr>
      <w:r>
        <w:rPr>
          <w:rFonts w:ascii="Calibri" w:hAnsi="Calibri"/>
          <w:sz w:val="22"/>
        </w:rPr>
        <w:t xml:space="preserve">• </w:t>
      </w:r>
      <w:r>
        <w:rPr>
          <w:rFonts w:ascii="Calibri" w:hAnsi="Calibri"/>
          <w:sz w:val="22"/>
        </w:rPr>
        <w:t>DR architecture design and multi-region strategy</w:t>
      </w:r>
    </w:p>
    <w:p>
      <w:pPr>
        <w:pStyle w:val="Heading3"/>
        <w:spacing w:before="160" w:after="120"/>
        <w:ind w:left="0" w:firstLine="0"/>
      </w:pPr>
      <w:r>
        <w:t>3.1.3 Infrastructure Implementation Phase</w:t>
      </w:r>
    </w:p>
    <w:p>
      <w:pPr>
        <w:spacing w:after="80"/>
        <w:ind w:left="720" w:hanging="360"/>
      </w:pPr>
      <w:r>
        <w:rPr>
          <w:rFonts w:ascii="Calibri" w:hAnsi="Calibri"/>
          <w:sz w:val="22"/>
        </w:rPr>
        <w:t xml:space="preserve">• </w:t>
      </w:r>
      <w:r>
        <w:rPr>
          <w:rFonts w:ascii="Calibri" w:hAnsi="Calibri"/>
          <w:sz w:val="22"/>
        </w:rPr>
        <w:t>Secondary AWS region setup and configuration</w:t>
      </w:r>
    </w:p>
    <w:p>
      <w:pPr>
        <w:spacing w:after="80"/>
        <w:ind w:left="720" w:hanging="360"/>
      </w:pPr>
      <w:r>
        <w:rPr>
          <w:rFonts w:ascii="Calibri" w:hAnsi="Calibri"/>
          <w:sz w:val="22"/>
        </w:rPr>
        <w:t xml:space="preserve">• </w:t>
      </w:r>
      <w:r>
        <w:rPr>
          <w:rFonts w:ascii="Calibri" w:hAnsi="Calibri"/>
          <w:sz w:val="22"/>
        </w:rPr>
        <w:t>Cross-region networking and VPN connectivity</w:t>
      </w:r>
    </w:p>
    <w:p>
      <w:pPr>
        <w:spacing w:after="80"/>
        <w:ind w:left="720" w:hanging="360"/>
      </w:pPr>
      <w:r>
        <w:rPr>
          <w:rFonts w:ascii="Calibri" w:hAnsi="Calibri"/>
          <w:sz w:val="22"/>
        </w:rPr>
        <w:t xml:space="preserve">• </w:t>
      </w:r>
      <w:r>
        <w:rPr>
          <w:rFonts w:ascii="Calibri" w:hAnsi="Calibri"/>
          <w:sz w:val="22"/>
        </w:rPr>
        <w:t>Database replication configuration (RDS/Aurora cross-region)</w:t>
      </w:r>
    </w:p>
    <w:p>
      <w:pPr>
        <w:spacing w:after="80"/>
        <w:ind w:left="720" w:hanging="360"/>
      </w:pPr>
      <w:r>
        <w:rPr>
          <w:rFonts w:ascii="Calibri" w:hAnsi="Calibri"/>
          <w:sz w:val="22"/>
        </w:rPr>
        <w:t xml:space="preserve">• </w:t>
      </w:r>
      <w:r>
        <w:rPr>
          <w:rFonts w:ascii="Calibri" w:hAnsi="Calibri"/>
          <w:sz w:val="22"/>
        </w:rPr>
        <w:t>Application server deployment in DR region</w:t>
      </w:r>
    </w:p>
    <w:p>
      <w:pPr>
        <w:spacing w:after="80"/>
        <w:ind w:left="720" w:hanging="360"/>
      </w:pPr>
      <w:r>
        <w:rPr>
          <w:rFonts w:ascii="Calibri" w:hAnsi="Calibri"/>
          <w:sz w:val="22"/>
        </w:rPr>
        <w:t xml:space="preserve">• </w:t>
      </w:r>
      <w:r>
        <w:rPr>
          <w:rFonts w:ascii="Calibri" w:hAnsi="Calibri"/>
          <w:sz w:val="22"/>
        </w:rPr>
        <w:t>Load balancer and DNS failover configuration</w:t>
      </w:r>
    </w:p>
    <w:p>
      <w:pPr>
        <w:spacing w:after="80"/>
        <w:ind w:left="720" w:hanging="360"/>
      </w:pPr>
      <w:r>
        <w:rPr>
          <w:rFonts w:ascii="Calibri" w:hAnsi="Calibri"/>
          <w:sz w:val="22"/>
        </w:rPr>
        <w:t xml:space="preserve">• </w:t>
      </w:r>
      <w:r>
        <w:rPr>
          <w:rFonts w:ascii="Calibri" w:hAnsi="Calibri"/>
          <w:sz w:val="22"/>
        </w:rPr>
        <w:t>Storage replication and backup strategy implementation</w:t>
      </w:r>
    </w:p>
    <w:p>
      <w:pPr>
        <w:pStyle w:val="Heading3"/>
        <w:spacing w:before="160" w:after="120"/>
        <w:ind w:left="0" w:firstLine="0"/>
      </w:pPr>
      <w:r>
        <w:t>3.1.4 Application &amp; Data Replication Phase</w:t>
      </w:r>
    </w:p>
    <w:p>
      <w:pPr>
        <w:spacing w:after="80"/>
        <w:ind w:left="720" w:hanging="360"/>
      </w:pPr>
      <w:r>
        <w:rPr>
          <w:rFonts w:ascii="Calibri" w:hAnsi="Calibri"/>
          <w:sz w:val="22"/>
        </w:rPr>
        <w:t xml:space="preserve">• </w:t>
      </w:r>
      <w:r>
        <w:rPr>
          <w:rFonts w:ascii="Calibri" w:hAnsi="Calibri"/>
          <w:sz w:val="22"/>
        </w:rPr>
        <w:t>Web application deployment to DR environment</w:t>
      </w:r>
    </w:p>
    <w:p>
      <w:pPr>
        <w:spacing w:after="80"/>
        <w:ind w:left="720" w:hanging="360"/>
      </w:pPr>
      <w:r>
        <w:rPr>
          <w:rFonts w:ascii="Calibri" w:hAnsi="Calibri"/>
          <w:sz w:val="22"/>
        </w:rPr>
        <w:t xml:space="preserve">• </w:t>
      </w:r>
      <w:r>
        <w:rPr>
          <w:rFonts w:ascii="Calibri" w:hAnsi="Calibri"/>
          <w:sz w:val="22"/>
        </w:rPr>
        <w:t>Real-time and scheduled data replication setup</w:t>
      </w:r>
    </w:p>
    <w:p>
      <w:pPr>
        <w:spacing w:after="80"/>
        <w:ind w:left="720" w:hanging="360"/>
      </w:pPr>
      <w:r>
        <w:rPr>
          <w:rFonts w:ascii="Calibri" w:hAnsi="Calibri"/>
          <w:sz w:val="22"/>
        </w:rPr>
        <w:t xml:space="preserve">• </w:t>
      </w:r>
      <w:r>
        <w:rPr>
          <w:rFonts w:ascii="Calibri" w:hAnsi="Calibri"/>
          <w:sz w:val="22"/>
        </w:rPr>
        <w:t>Database synchronization and consistency validation</w:t>
      </w:r>
    </w:p>
    <w:p>
      <w:pPr>
        <w:spacing w:after="80"/>
        <w:ind w:left="720" w:hanging="360"/>
      </w:pPr>
      <w:r>
        <w:rPr>
          <w:rFonts w:ascii="Calibri" w:hAnsi="Calibri"/>
          <w:sz w:val="22"/>
        </w:rPr>
        <w:t xml:space="preserve">• </w:t>
      </w:r>
      <w:r>
        <w:rPr>
          <w:rFonts w:ascii="Calibri" w:hAnsi="Calibri"/>
          <w:sz w:val="22"/>
        </w:rPr>
        <w:t>File system and static content replication</w:t>
      </w:r>
    </w:p>
    <w:p>
      <w:pPr>
        <w:spacing w:after="80"/>
        <w:ind w:left="720" w:hanging="360"/>
      </w:pPr>
      <w:r>
        <w:rPr>
          <w:rFonts w:ascii="Calibri" w:hAnsi="Calibri"/>
          <w:sz w:val="22"/>
        </w:rPr>
        <w:t xml:space="preserve">• </w:t>
      </w:r>
      <w:r>
        <w:rPr>
          <w:rFonts w:ascii="Calibri" w:hAnsi="Calibri"/>
          <w:sz w:val="22"/>
        </w:rPr>
        <w:t>Configuration management and environment parity</w:t>
      </w:r>
    </w:p>
    <w:p>
      <w:pPr>
        <w:spacing w:after="80"/>
        <w:ind w:left="720" w:hanging="360"/>
      </w:pPr>
      <w:r>
        <w:rPr>
          <w:rFonts w:ascii="Calibri" w:hAnsi="Calibri"/>
          <w:sz w:val="22"/>
        </w:rPr>
        <w:t xml:space="preserve">• </w:t>
      </w:r>
      <w:r>
        <w:rPr>
          <w:rFonts w:ascii="Calibri" w:hAnsi="Calibri"/>
          <w:sz w:val="22"/>
        </w:rPr>
        <w:t>Application dependency mapping and replication</w:t>
      </w:r>
    </w:p>
    <w:p>
      <w:pPr>
        <w:pStyle w:val="Heading3"/>
        <w:spacing w:before="160" w:after="120"/>
        <w:ind w:left="0" w:firstLine="0"/>
      </w:pPr>
      <w:r>
        <w:t>3.1.5 Monitoring &amp; Automation Phase</w:t>
      </w:r>
    </w:p>
    <w:p>
      <w:pPr>
        <w:spacing w:after="80"/>
        <w:ind w:left="720" w:hanging="360"/>
      </w:pPr>
      <w:r>
        <w:rPr>
          <w:rFonts w:ascii="Calibri" w:hAnsi="Calibri"/>
          <w:sz w:val="22"/>
        </w:rPr>
        <w:t xml:space="preserve">• </w:t>
      </w:r>
      <w:r>
        <w:rPr>
          <w:rFonts w:ascii="Calibri" w:hAnsi="Calibri"/>
          <w:sz w:val="22"/>
        </w:rPr>
        <w:t>DR monitoring dashboard and alerting system</w:t>
      </w:r>
    </w:p>
    <w:p>
      <w:pPr>
        <w:spacing w:after="80"/>
        <w:ind w:left="720" w:hanging="360"/>
      </w:pPr>
      <w:r>
        <w:rPr>
          <w:rFonts w:ascii="Calibri" w:hAnsi="Calibri"/>
          <w:sz w:val="22"/>
        </w:rPr>
        <w:t xml:space="preserve">• </w:t>
      </w:r>
      <w:r>
        <w:rPr>
          <w:rFonts w:ascii="Calibri" w:hAnsi="Calibri"/>
          <w:sz w:val="22"/>
        </w:rPr>
        <w:t>Automated failover trigger configuration</w:t>
      </w:r>
    </w:p>
    <w:p>
      <w:pPr>
        <w:spacing w:after="80"/>
        <w:ind w:left="720" w:hanging="360"/>
      </w:pPr>
      <w:r>
        <w:rPr>
          <w:rFonts w:ascii="Calibri" w:hAnsi="Calibri"/>
          <w:sz w:val="22"/>
        </w:rPr>
        <w:t xml:space="preserve">• </w:t>
      </w:r>
      <w:r>
        <w:rPr>
          <w:rFonts w:ascii="Calibri" w:hAnsi="Calibri"/>
          <w:sz w:val="22"/>
        </w:rPr>
        <w:t>Health check and availability monitoring</w:t>
      </w:r>
    </w:p>
    <w:p>
      <w:pPr>
        <w:spacing w:after="80"/>
        <w:ind w:left="720" w:hanging="360"/>
      </w:pPr>
      <w:r>
        <w:rPr>
          <w:rFonts w:ascii="Calibri" w:hAnsi="Calibri"/>
          <w:sz w:val="22"/>
        </w:rPr>
        <w:t xml:space="preserve">• </w:t>
      </w:r>
      <w:r>
        <w:rPr>
          <w:rFonts w:ascii="Calibri" w:hAnsi="Calibri"/>
          <w:sz w:val="22"/>
        </w:rPr>
        <w:t>Performance monitoring in DR environment</w:t>
      </w:r>
    </w:p>
    <w:p>
      <w:pPr>
        <w:spacing w:after="80"/>
        <w:ind w:left="720" w:hanging="360"/>
      </w:pPr>
      <w:r>
        <w:rPr>
          <w:rFonts w:ascii="Calibri" w:hAnsi="Calibri"/>
          <w:sz w:val="22"/>
        </w:rPr>
        <w:t xml:space="preserve">• </w:t>
      </w:r>
      <w:r>
        <w:rPr>
          <w:rFonts w:ascii="Calibri" w:hAnsi="Calibri"/>
          <w:sz w:val="22"/>
        </w:rPr>
        <w:t>Automated backup verification and testing</w:t>
      </w:r>
    </w:p>
    <w:p>
      <w:pPr>
        <w:spacing w:after="80"/>
        <w:ind w:left="720" w:hanging="360"/>
      </w:pPr>
      <w:r>
        <w:rPr>
          <w:rFonts w:ascii="Calibri" w:hAnsi="Calibri"/>
          <w:sz w:val="22"/>
        </w:rPr>
        <w:t xml:space="preserve">• </w:t>
      </w:r>
      <w:r>
        <w:rPr>
          <w:rFonts w:ascii="Calibri" w:hAnsi="Calibri"/>
          <w:sz w:val="22"/>
        </w:rPr>
        <w:t>Incident response automation and notifications</w:t>
      </w:r>
    </w:p>
    <w:p>
      <w:pPr>
        <w:pStyle w:val="Heading3"/>
        <w:spacing w:before="160" w:after="120"/>
        <w:ind w:left="0" w:firstLine="0"/>
      </w:pPr>
      <w:r>
        <w:t>3.1.6 Testing &amp; Validation Phase</w:t>
      </w:r>
    </w:p>
    <w:p>
      <w:pPr>
        <w:spacing w:after="80"/>
        <w:ind w:left="720" w:hanging="360"/>
      </w:pPr>
      <w:r>
        <w:rPr>
          <w:rFonts w:ascii="Calibri" w:hAnsi="Calibri"/>
          <w:sz w:val="22"/>
        </w:rPr>
        <w:t xml:space="preserve">• </w:t>
      </w:r>
      <w:r>
        <w:rPr>
          <w:rFonts w:ascii="Calibri" w:hAnsi="Calibri"/>
          <w:sz w:val="22"/>
        </w:rPr>
        <w:t>DR testing framework development</w:t>
      </w:r>
    </w:p>
    <w:p>
      <w:pPr>
        <w:spacing w:after="80"/>
        <w:ind w:left="720" w:hanging="360"/>
      </w:pPr>
      <w:r>
        <w:rPr>
          <w:rFonts w:ascii="Calibri" w:hAnsi="Calibri"/>
          <w:sz w:val="22"/>
        </w:rPr>
        <w:t xml:space="preserve">• </w:t>
      </w:r>
      <w:r>
        <w:rPr>
          <w:rFonts w:ascii="Calibri" w:hAnsi="Calibri"/>
          <w:sz w:val="22"/>
        </w:rPr>
        <w:t>Planned failover testing and validation</w:t>
      </w:r>
    </w:p>
    <w:p>
      <w:pPr>
        <w:spacing w:after="80"/>
        <w:ind w:left="720" w:hanging="360"/>
      </w:pPr>
      <w:r>
        <w:rPr>
          <w:rFonts w:ascii="Calibri" w:hAnsi="Calibri"/>
          <w:sz w:val="22"/>
        </w:rPr>
        <w:t xml:space="preserve">• </w:t>
      </w:r>
      <w:r>
        <w:rPr>
          <w:rFonts w:ascii="Calibri" w:hAnsi="Calibri"/>
          <w:sz w:val="22"/>
        </w:rPr>
        <w:t>Performance testing in DR environment</w:t>
      </w:r>
    </w:p>
    <w:p>
      <w:pPr>
        <w:spacing w:after="80"/>
        <w:ind w:left="720" w:hanging="360"/>
      </w:pPr>
      <w:r>
        <w:rPr>
          <w:rFonts w:ascii="Calibri" w:hAnsi="Calibri"/>
          <w:sz w:val="22"/>
        </w:rPr>
        <w:t xml:space="preserve">• </w:t>
      </w:r>
      <w:r>
        <w:rPr>
          <w:rFonts w:ascii="Calibri" w:hAnsi="Calibri"/>
          <w:sz w:val="22"/>
        </w:rPr>
        <w:t>Data integrity and consistency validation</w:t>
      </w:r>
    </w:p>
    <w:p>
      <w:pPr>
        <w:spacing w:after="80"/>
        <w:ind w:left="720" w:hanging="360"/>
      </w:pPr>
      <w:r>
        <w:rPr>
          <w:rFonts w:ascii="Calibri" w:hAnsi="Calibri"/>
          <w:sz w:val="22"/>
        </w:rPr>
        <w:t xml:space="preserve">• </w:t>
      </w:r>
      <w:r>
        <w:rPr>
          <w:rFonts w:ascii="Calibri" w:hAnsi="Calibri"/>
          <w:sz w:val="22"/>
        </w:rPr>
        <w:t>Full disaster simulation exercises</w:t>
      </w:r>
    </w:p>
    <w:p>
      <w:pPr>
        <w:spacing w:after="80"/>
        <w:ind w:left="720" w:hanging="360"/>
      </w:pPr>
      <w:r>
        <w:rPr>
          <w:rFonts w:ascii="Calibri" w:hAnsi="Calibri"/>
          <w:sz w:val="22"/>
        </w:rPr>
        <w:t xml:space="preserve">• </w:t>
      </w:r>
      <w:r>
        <w:rPr>
          <w:rFonts w:ascii="Calibri" w:hAnsi="Calibri"/>
          <w:sz w:val="22"/>
        </w:rPr>
        <w:t>Business process validation in DR mode</w:t>
      </w:r>
    </w:p>
    <w:p>
      <w:pPr>
        <w:pStyle w:val="Heading3"/>
        <w:spacing w:before="160" w:after="120"/>
        <w:ind w:left="0" w:firstLine="0"/>
      </w:pPr>
      <w:r>
        <w:t>3.1.7 Operations &amp; Handover Phase</w:t>
      </w:r>
    </w:p>
    <w:p>
      <w:pPr>
        <w:spacing w:after="80"/>
        <w:ind w:left="720" w:hanging="360"/>
      </w:pPr>
      <w:r>
        <w:rPr>
          <w:rFonts w:ascii="Calibri" w:hAnsi="Calibri"/>
          <w:sz w:val="22"/>
        </w:rPr>
        <w:t xml:space="preserve">• </w:t>
      </w:r>
      <w:r>
        <w:rPr>
          <w:rFonts w:ascii="Calibri" w:hAnsi="Calibri"/>
          <w:sz w:val="22"/>
        </w:rPr>
        <w:t>DR runbook creation and documentation</w:t>
      </w:r>
    </w:p>
    <w:p>
      <w:pPr>
        <w:spacing w:after="80"/>
        <w:ind w:left="720" w:hanging="360"/>
      </w:pPr>
      <w:r>
        <w:rPr>
          <w:rFonts w:ascii="Calibri" w:hAnsi="Calibri"/>
          <w:sz w:val="22"/>
        </w:rPr>
        <w:t xml:space="preserve">• </w:t>
      </w:r>
      <w:r>
        <w:rPr>
          <w:rFonts w:ascii="Calibri" w:hAnsi="Calibri"/>
          <w:sz w:val="22"/>
        </w:rPr>
        <w:t>Operations team training on DR procedures</w:t>
      </w:r>
    </w:p>
    <w:p>
      <w:pPr>
        <w:spacing w:after="80"/>
        <w:ind w:left="720" w:hanging="360"/>
      </w:pPr>
      <w:r>
        <w:rPr>
          <w:rFonts w:ascii="Calibri" w:hAnsi="Calibri"/>
          <w:sz w:val="22"/>
        </w:rPr>
        <w:t xml:space="preserve">• </w:t>
      </w:r>
      <w:r>
        <w:rPr>
          <w:rFonts w:ascii="Calibri" w:hAnsi="Calibri"/>
          <w:sz w:val="22"/>
        </w:rPr>
        <w:t>24/7 monitoring and support procedures</w:t>
      </w:r>
    </w:p>
    <w:p>
      <w:pPr>
        <w:spacing w:after="80"/>
        <w:ind w:left="720" w:hanging="360"/>
      </w:pPr>
      <w:r>
        <w:rPr>
          <w:rFonts w:ascii="Calibri" w:hAnsi="Calibri"/>
          <w:sz w:val="22"/>
        </w:rPr>
        <w:t xml:space="preserve">• </w:t>
      </w:r>
      <w:r>
        <w:rPr>
          <w:rFonts w:ascii="Calibri" w:hAnsi="Calibri"/>
          <w:sz w:val="22"/>
        </w:rPr>
        <w:t>Incident response and escalation procedures</w:t>
      </w:r>
    </w:p>
    <w:p>
      <w:pPr>
        <w:spacing w:after="80"/>
        <w:ind w:left="720" w:hanging="360"/>
      </w:pPr>
      <w:r>
        <w:rPr>
          <w:rFonts w:ascii="Calibri" w:hAnsi="Calibri"/>
          <w:sz w:val="22"/>
        </w:rPr>
        <w:t xml:space="preserve">• </w:t>
      </w:r>
      <w:r>
        <w:rPr>
          <w:rFonts w:ascii="Calibri" w:hAnsi="Calibri"/>
          <w:sz w:val="22"/>
        </w:rPr>
        <w:t>Ongoing DR testing and maintenance planning</w:t>
      </w:r>
    </w:p>
    <w:p>
      <w:pPr>
        <w:pStyle w:val="Heading2"/>
        <w:spacing w:before="240" w:after="120"/>
        <w:ind w:left="0" w:firstLine="0"/>
      </w:pPr>
      <w:r>
        <w:t>3.2 Out-of-Scope Activities</w:t>
      </w:r>
    </w:p>
    <w:p>
      <w:pPr>
        <w:spacing w:after="160"/>
      </w:pPr>
      <w:r>
        <w:rPr>
          <w:rFonts w:ascii="Calibri" w:hAnsi="Calibri"/>
          <w:sz w:val="22"/>
        </w:rPr>
        <w:t>The following activities are explicitly excluded from this SOW:</w:t>
      </w:r>
    </w:p>
    <w:p>
      <w:pPr>
        <w:spacing w:after="80"/>
        <w:ind w:left="720" w:hanging="360"/>
      </w:pPr>
      <w:r>
        <w:rPr>
          <w:rFonts w:ascii="Calibri" w:hAnsi="Calibri"/>
          <w:sz w:val="22"/>
        </w:rPr>
        <w:t xml:space="preserve">• </w:t>
      </w:r>
      <w:r>
        <w:rPr>
          <w:rFonts w:ascii="Calibri" w:hAnsi="Calibri"/>
          <w:sz w:val="22"/>
        </w:rPr>
        <w:t>Legacy application re-architecture or modernization</w:t>
      </w:r>
    </w:p>
    <w:p>
      <w:pPr>
        <w:spacing w:after="80"/>
        <w:ind w:left="720" w:hanging="360"/>
      </w:pPr>
      <w:r>
        <w:rPr>
          <w:rFonts w:ascii="Calibri" w:hAnsi="Calibri"/>
          <w:sz w:val="22"/>
        </w:rPr>
        <w:t xml:space="preserve">• </w:t>
      </w:r>
      <w:r>
        <w:rPr>
          <w:rFonts w:ascii="Calibri" w:hAnsi="Calibri"/>
          <w:sz w:val="22"/>
        </w:rPr>
        <w:t>Third-party software licensing for DR environments</w:t>
      </w:r>
    </w:p>
    <w:p>
      <w:pPr>
        <w:spacing w:after="80"/>
        <w:ind w:left="720" w:hanging="360"/>
      </w:pPr>
      <w:r>
        <w:rPr>
          <w:rFonts w:ascii="Calibri" w:hAnsi="Calibri"/>
          <w:sz w:val="22"/>
        </w:rPr>
        <w:t xml:space="preserve">• </w:t>
      </w:r>
      <w:r>
        <w:rPr>
          <w:rFonts w:ascii="Calibri" w:hAnsi="Calibri"/>
          <w:sz w:val="22"/>
        </w:rPr>
        <w:t>Physical hardware procurement or data center setup</w:t>
      </w:r>
    </w:p>
    <w:p>
      <w:pPr>
        <w:spacing w:after="80"/>
        <w:ind w:left="720" w:hanging="360"/>
      </w:pPr>
      <w:r>
        <w:rPr>
          <w:rFonts w:ascii="Calibri" w:hAnsi="Calibri"/>
          <w:sz w:val="22"/>
        </w:rPr>
        <w:t xml:space="preserve">• </w:t>
      </w:r>
      <w:r>
        <w:rPr>
          <w:rFonts w:ascii="Calibri" w:hAnsi="Calibri"/>
          <w:sz w:val="22"/>
        </w:rPr>
        <w:t>Network infrastructure modifications outside AWS</w:t>
      </w:r>
    </w:p>
    <w:p>
      <w:pPr>
        <w:spacing w:after="80"/>
        <w:ind w:left="720" w:hanging="360"/>
      </w:pPr>
      <w:r>
        <w:rPr>
          <w:rFonts w:ascii="Calibri" w:hAnsi="Calibri"/>
          <w:sz w:val="22"/>
        </w:rPr>
        <w:t xml:space="preserve">• </w:t>
      </w:r>
      <w:r>
        <w:rPr>
          <w:rFonts w:ascii="Calibri" w:hAnsi="Calibri"/>
          <w:sz w:val="22"/>
        </w:rPr>
        <w:t>Ongoing operational support beyond the warranty period</w:t>
      </w:r>
    </w:p>
    <w:p>
      <w:pPr>
        <w:spacing w:after="80"/>
        <w:ind w:left="720" w:hanging="360"/>
      </w:pPr>
      <w:r>
        <w:rPr>
          <w:rFonts w:ascii="Calibri" w:hAnsi="Calibri"/>
          <w:sz w:val="22"/>
        </w:rPr>
        <w:t xml:space="preserve">• </w:t>
      </w:r>
      <w:r>
        <w:rPr>
          <w:rFonts w:ascii="Calibri" w:hAnsi="Calibri"/>
          <w:sz w:val="22"/>
        </w:rPr>
        <w:t>Application performance optimization unrelated to DR</w:t>
      </w:r>
    </w:p>
    <w:p>
      <w:pPr>
        <w:spacing w:after="80"/>
        <w:ind w:left="720" w:hanging="360"/>
      </w:pPr>
      <w:r>
        <w:rPr>
          <w:rFonts w:ascii="Calibri" w:hAnsi="Calibri"/>
          <w:sz w:val="22"/>
        </w:rPr>
        <w:t xml:space="preserve">• </w:t>
      </w:r>
      <w:r>
        <w:rPr>
          <w:rFonts w:ascii="Calibri" w:hAnsi="Calibri"/>
          <w:sz w:val="22"/>
        </w:rPr>
        <w:t>Data migration from non-AWS environments</w:t>
      </w:r>
    </w:p>
    <w:p>
      <w:pPr>
        <w:spacing w:after="80"/>
        <w:ind w:left="720" w:hanging="360"/>
      </w:pPr>
      <w:r>
        <w:rPr>
          <w:rFonts w:ascii="Calibri" w:hAnsi="Calibri"/>
          <w:sz w:val="22"/>
        </w:rPr>
        <w:t xml:space="preserve">• </w:t>
      </w:r>
      <w:r>
        <w:rPr>
          <w:rFonts w:ascii="Calibri" w:hAnsi="Calibri"/>
          <w:sz w:val="22"/>
        </w:rPr>
        <w:t>Compliance audit services or regulatory reporting</w:t>
      </w:r>
    </w:p>
    <w:p>
      <w:pPr>
        <w:pStyle w:val="Heading1"/>
        <w:spacing w:before="160" w:after="120"/>
        <w:ind w:left="0" w:firstLine="0"/>
      </w:pPr>
      <w:r>
        <w:t>4 Deliverables &amp; Timeline</w:t>
      </w:r>
    </w:p>
    <w:p>
      <w:pPr>
        <w:pStyle w:val="Heading2"/>
        <w:spacing w:before="240" w:after="120"/>
        <w:ind w:left="0" w:firstLine="0"/>
      </w:pPr>
      <w:r>
        <w:t>4.1 Deliverables</w:t>
      </w:r>
    </w:p>
    <w:p>
      <w:pPr>
        <w:pStyle w:val="Heading2"/>
        <w:spacing w:before="240" w:after="120"/>
        <w:ind w:left="0" w:firstLine="0"/>
      </w:pPr>
      <w:r>
        <w:t>4.2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Documentation Deliverables</w:t>
      </w:r>
    </w:p>
    <w:p>
      <w:pPr>
        <w:pStyle w:val="Heading2"/>
        <w:spacing w:before="240" w:after="120"/>
        <w:ind w:left="0" w:firstLine="0"/>
      </w:pPr>
      <w:r>
        <w:t>4.3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Component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Criteria</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Primary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Fully configured primary region with DR monitoring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Passes all acceptance tests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Fully operational secondary region environment</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Successful failover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Data Replication System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Real-time database and file replication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RPO compliance validation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Failover Automation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failover triggers and procedures</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 compliance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Alerting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24/7 DR monitoring and incident alerting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Functional dashboards and alerts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Backup &amp; Recovery Validation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backup testing and verification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Successful recovery demonstrations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System Deliverables</w:t>
      </w:r>
    </w:p>
    <w:p>
      <w:pPr>
        <w:pStyle w:val="Heading2"/>
        <w:spacing w:before="240" w:after="120"/>
        <w:ind w:left="0" w:firstLine="0"/>
      </w:pPr>
      <w:r>
        <w:t>4.4 Knowledge Transfer Deliverables</w:t>
      </w:r>
    </w:p>
    <w:p>
      <w:pPr>
        <w:spacing w:after="80"/>
        <w:ind w:left="720" w:hanging="360"/>
      </w:pPr>
      <w:r>
        <w:rPr>
          <w:rFonts w:ascii="Calibri" w:hAnsi="Calibri"/>
          <w:sz w:val="22"/>
        </w:rPr>
        <w:t xml:space="preserve">• </w:t>
      </w:r>
      <w:r>
        <w:rPr>
          <w:rFonts w:ascii="Calibri" w:hAnsi="Calibri"/>
          <w:sz w:val="22"/>
        </w:rPr>
        <w:t>DR operations training (3 days, up to 15 participants)</w:t>
      </w:r>
    </w:p>
    <w:p>
      <w:pPr>
        <w:spacing w:after="80"/>
        <w:ind w:left="720" w:hanging="360"/>
      </w:pPr>
      <w:r>
        <w:rPr>
          <w:rFonts w:ascii="Calibri" w:hAnsi="Calibri"/>
          <w:sz w:val="22"/>
        </w:rPr>
        <w:t xml:space="preserve">• </w:t>
      </w:r>
      <w:r>
        <w:rPr>
          <w:rFonts w:ascii="Calibri" w:hAnsi="Calibri"/>
          <w:sz w:val="22"/>
        </w:rPr>
        <w:t>Executive disaster response briefing (4 hours, up to 10 participants)</w:t>
      </w:r>
    </w:p>
    <w:p>
      <w:pPr>
        <w:spacing w:after="80"/>
        <w:ind w:left="720" w:hanging="360"/>
      </w:pPr>
      <w:r>
        <w:rPr>
          <w:rFonts w:ascii="Calibri" w:hAnsi="Calibri"/>
          <w:sz w:val="22"/>
        </w:rPr>
        <w:t xml:space="preserve">• </w:t>
      </w:r>
      <w:r>
        <w:rPr>
          <w:rFonts w:ascii="Calibri" w:hAnsi="Calibri"/>
          <w:sz w:val="22"/>
        </w:rPr>
        <w:t>Hands-on failover simulation exercises</w:t>
      </w:r>
    </w:p>
    <w:p>
      <w:pPr>
        <w:spacing w:after="80"/>
        <w:ind w:left="720" w:hanging="360"/>
      </w:pPr>
      <w:r>
        <w:rPr>
          <w:rFonts w:ascii="Calibri" w:hAnsi="Calibri"/>
          <w:sz w:val="22"/>
        </w:rPr>
        <w:t xml:space="preserve">• </w:t>
      </w:r>
      <w:r>
        <w:rPr>
          <w:rFonts w:ascii="Calibri" w:hAnsi="Calibri"/>
          <w:sz w:val="22"/>
        </w:rPr>
        <w:t>24/7 emergency response procedures training</w:t>
      </w:r>
    </w:p>
    <w:p>
      <w:pPr>
        <w:spacing w:after="80"/>
        <w:ind w:left="720" w:hanging="360"/>
      </w:pPr>
      <w:r>
        <w:rPr>
          <w:rFonts w:ascii="Calibri" w:hAnsi="Calibri"/>
          <w:sz w:val="22"/>
        </w:rPr>
        <w:t xml:space="preserve">• </w:t>
      </w:r>
      <w:r>
        <w:rPr>
          <w:rFonts w:ascii="Calibri" w:hAnsi="Calibri"/>
          <w:sz w:val="22"/>
        </w:rPr>
        <w:t>Recorded training sessions and DR simulation scenarios</w:t>
      </w:r>
    </w:p>
    <w:p>
      <w:pPr>
        <w:pStyle w:val="Heading2"/>
        <w:spacing w:before="240" w:after="120"/>
        <w:ind w:left="0" w:firstLine="0"/>
      </w:pPr>
      <w:r>
        <w:t>4.5 Project Milestones</w:t>
      </w:r>
    </w:p>
    <w:p>
      <w:pPr>
        <w:pStyle w:val="Heading2"/>
        <w:spacing w:before="240" w:after="120"/>
        <w:ind w:left="0" w:firstLine="0"/>
      </w:pPr>
      <w:r>
        <w:t>4.6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completed, documentation delivered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Milestones</w:t>
      </w:r>
    </w:p>
    <w:p>
      <w:pPr>
        <w:pStyle w:val="Heading2"/>
        <w:spacing w:before="240" w:after="120"/>
        <w:ind w:left="0" w:firstLine="0"/>
      </w:pPr>
      <w:r>
        <w:t>4.7 Critical Dependencies</w:t>
      </w:r>
    </w:p>
    <w:p>
      <w:pPr>
        <w:spacing w:after="80"/>
        <w:ind w:left="720" w:hanging="360"/>
      </w:pPr>
      <w:r>
        <w:rPr>
          <w:rFonts w:ascii="Calibri" w:hAnsi="Calibri"/>
          <w:sz w:val="22"/>
        </w:rPr>
        <w:t xml:space="preserve">• </w:t>
      </w:r>
      <w:r>
        <w:rPr>
          <w:rFonts w:ascii="Calibri" w:hAnsi="Calibri"/>
          <w:sz w:val="22"/>
        </w:rPr>
        <w:t>Client provides access to current production environment and configurations</w:t>
      </w:r>
    </w:p>
    <w:p>
      <w:pPr>
        <w:spacing w:after="80"/>
        <w:ind w:left="720" w:hanging="360"/>
      </w:pPr>
      <w:r>
        <w:rPr>
          <w:rFonts w:ascii="Calibri" w:hAnsi="Calibri"/>
          <w:sz w:val="22"/>
        </w:rPr>
        <w:t xml:space="preserve">• </w:t>
      </w:r>
      <w:r>
        <w:rPr>
          <w:rFonts w:ascii="Calibri" w:hAnsi="Calibri"/>
          <w:sz w:val="22"/>
        </w:rPr>
        <w:t>Business stakeholders available for BIA and requirements validation</w:t>
      </w:r>
    </w:p>
    <w:p>
      <w:pPr>
        <w:spacing w:after="80"/>
        <w:ind w:left="720" w:hanging="360"/>
      </w:pPr>
      <w:r>
        <w:rPr>
          <w:rFonts w:ascii="Calibri" w:hAnsi="Calibri"/>
          <w:sz w:val="22"/>
        </w:rPr>
        <w:t xml:space="preserve">• </w:t>
      </w:r>
      <w:r>
        <w:rPr>
          <w:rFonts w:ascii="Calibri" w:hAnsi="Calibri"/>
          <w:sz w:val="22"/>
        </w:rPr>
        <w:t>AWS account access and appropriate permissions for multi-region deployment</w:t>
      </w:r>
    </w:p>
    <w:p>
      <w:pPr>
        <w:spacing w:after="80"/>
        <w:ind w:left="720" w:hanging="360"/>
      </w:pPr>
      <w:r>
        <w:rPr>
          <w:rFonts w:ascii="Calibri" w:hAnsi="Calibri"/>
          <w:sz w:val="22"/>
        </w:rPr>
        <w:t xml:space="preserve">• </w:t>
      </w:r>
      <w:r>
        <w:rPr>
          <w:rFonts w:ascii="Calibri" w:hAnsi="Calibri"/>
          <w:sz w:val="22"/>
        </w:rPr>
        <w:t>Network connectivity approvals for cross-region traffic</w:t>
      </w:r>
    </w:p>
    <w:p>
      <w:pPr>
        <w:spacing w:after="80"/>
        <w:ind w:left="720" w:hanging="360"/>
      </w:pPr>
      <w:r>
        <w:rPr>
          <w:rFonts w:ascii="Calibri" w:hAnsi="Calibri"/>
          <w:sz w:val="22"/>
        </w:rPr>
        <w:t xml:space="preserve">• </w:t>
      </w:r>
      <w:r>
        <w:rPr>
          <w:rFonts w:ascii="Calibri" w:hAnsi="Calibri"/>
          <w:sz w:val="22"/>
        </w:rPr>
        <w:t>Maintenance windows available for DR testing and validation</w:t>
      </w:r>
    </w:p>
    <w:p>
      <w:pPr>
        <w:spacing w:after="80"/>
        <w:ind w:left="720" w:hanging="360"/>
      </w:pPr>
      <w:r>
        <w:rPr>
          <w:rFonts w:ascii="Calibri" w:hAnsi="Calibri"/>
          <w:sz w:val="22"/>
        </w:rPr>
        <w:t xml:space="preserve">• </w:t>
      </w:r>
      <w:r>
        <w:rPr>
          <w:rFonts w:ascii="Calibri" w:hAnsi="Calibri"/>
          <w:sz w:val="22"/>
        </w:rPr>
        <w:t>Operations team availability for training and knowledge transfer</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Task/Deliverable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Eng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Mgmt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Requirements Analysis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Deployment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Replication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Automation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Runbook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Management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Roles and Responsibilities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Project Manager: Overall delivery accountability</w:t>
      </w:r>
    </w:p>
    <w:p>
      <w:pPr>
        <w:spacing w:after="80"/>
        <w:ind w:left="720" w:hanging="360"/>
      </w:pPr>
      <w:r>
        <w:rPr>
          <w:rFonts w:ascii="Calibri" w:hAnsi="Calibri"/>
          <w:sz w:val="22"/>
        </w:rPr>
        <w:t xml:space="preserve">• </w:t>
      </w:r>
      <w:r>
        <w:rPr>
          <w:rFonts w:ascii="Calibri" w:hAnsi="Calibri"/>
          <w:sz w:val="22"/>
        </w:rPr>
        <w:t>Solution Architect: Technical design and oversight</w:t>
      </w:r>
    </w:p>
    <w:p>
      <w:pPr>
        <w:spacing w:after="80"/>
        <w:ind w:left="720" w:hanging="360"/>
      </w:pPr>
      <w:r>
        <w:rPr>
          <w:rFonts w:ascii="Calibri" w:hAnsi="Calibri"/>
          <w:sz w:val="22"/>
        </w:rPr>
        <w:t xml:space="preserve">• </w:t>
      </w:r>
      <w:r>
        <w:rPr>
          <w:rFonts w:ascii="Calibri" w:hAnsi="Calibri"/>
          <w:sz w:val="22"/>
        </w:rPr>
        <w:t>Engineers: Implementation and configuration</w:t>
      </w:r>
    </w:p>
    <w:p>
      <w:pPr>
        <w:spacing w:after="80"/>
        <w:ind w:left="720" w:hanging="360"/>
      </w:pPr>
      <w:r>
        <w:rPr>
          <w:rFonts w:ascii="Calibri" w:hAnsi="Calibri"/>
          <w:sz w:val="22"/>
        </w:rPr>
        <w:t xml:space="preserve">• </w:t>
      </w:r>
      <w:r>
        <w:rPr>
          <w:rFonts w:ascii="Calibri" w:hAnsi="Calibri"/>
          <w:sz w:val="22"/>
        </w:rPr>
        <w:t>Support Specialist: Training and hypercare</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w:t>
      </w:r>
    </w:p>
    <w:p>
      <w:pPr>
        <w:spacing w:after="80"/>
        <w:ind w:left="720" w:hanging="360"/>
      </w:pPr>
      <w:r>
        <w:rPr>
          <w:rFonts w:ascii="Calibri" w:hAnsi="Calibri"/>
          <w:sz w:val="22"/>
        </w:rPr>
        <w:t xml:space="preserve">• </w:t>
      </w:r>
      <w:r>
        <w:rPr>
          <w:rFonts w:ascii="Calibri" w:hAnsi="Calibri"/>
          <w:sz w:val="22"/>
        </w:rPr>
        <w:t>Management Sponsor: Executive oversight</w:t>
      </w:r>
    </w:p>
    <w:p>
      <w:pPr>
        <w:spacing w:after="80"/>
        <w:ind w:left="720" w:hanging="360"/>
      </w:pPr>
      <w:r>
        <w:rPr>
          <w:rFonts w:ascii="Calibri" w:hAnsi="Calibri"/>
          <w:sz w:val="22"/>
        </w:rPr>
        <w:t xml:space="preserve">• </w:t>
      </w:r>
      <w:r>
        <w:rPr>
          <w:rFonts w:ascii="Calibri" w:hAnsi="Calibri"/>
          <w:sz w:val="22"/>
        </w:rPr>
        <w:t>Operations Team: Knowledge transfer recipients</w:t>
      </w:r>
    </w:p>
    <w:p>
      <w:pPr>
        <w:spacing w:after="80"/>
        <w:ind w:left="720" w:hanging="360"/>
      </w:pPr>
      <w:r>
        <w:rPr>
          <w:rFonts w:ascii="Calibri" w:hAnsi="Calibri"/>
          <w:sz w:val="22"/>
        </w:rPr>
        <w:t xml:space="preserve">• </w:t>
      </w:r>
      <w:r>
        <w:rPr>
          <w:rFonts w:ascii="Calibri" w:hAnsi="Calibri"/>
          <w:sz w:val="22"/>
        </w:rPr>
        <w:t>Subject Matter Experts: Requirements validation</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Disaster Recovery solution implements a multi-region, active-standby architecture designed for high availability and rapid failover. The architecture provides automated failover capabilities, continuous data replication, and comprehensive monitoring to ensure business continuity.</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warm standby DR strategy with active-passive multi-region deployment. This approach enables:</w:t>
      </w:r>
    </w:p>
    <w:p>
      <w:pPr>
        <w:spacing w:after="80"/>
        <w:ind w:left="720" w:hanging="360"/>
      </w:pPr>
      <w:r>
        <w:rPr>
          <w:rFonts w:ascii="Calibri" w:hAnsi="Calibri"/>
          <w:sz w:val="22"/>
        </w:rPr>
        <w:t xml:space="preserve">• </w:t>
      </w:r>
      <w:r>
        <w:rPr>
          <w:rFonts w:ascii="Calibri" w:hAnsi="Calibri"/>
          <w:sz w:val="22"/>
        </w:rPr>
        <w:t>RTO (Recovery Time Objective): 15 minutes</w:t>
      </w:r>
    </w:p>
    <w:p>
      <w:pPr>
        <w:spacing w:after="80"/>
        <w:ind w:left="720" w:hanging="360"/>
      </w:pPr>
      <w:r>
        <w:rPr>
          <w:rFonts w:ascii="Calibri" w:hAnsi="Calibri"/>
          <w:sz w:val="22"/>
        </w:rPr>
        <w:t xml:space="preserve">• </w:t>
      </w:r>
      <w:r>
        <w:rPr>
          <w:rFonts w:ascii="Calibri" w:hAnsi="Calibri"/>
          <w:sz w:val="22"/>
        </w:rPr>
        <w:t>RPO (Recovery Point Objective): 5 minutes</w:t>
      </w:r>
    </w:p>
    <w:p>
      <w:pPr>
        <w:spacing w:after="80"/>
        <w:ind w:left="720" w:hanging="360"/>
      </w:pPr>
      <w:r>
        <w:rPr>
          <w:rFonts w:ascii="Calibri" w:hAnsi="Calibri"/>
          <w:sz w:val="22"/>
        </w:rPr>
        <w:t xml:space="preserve">• </w:t>
      </w:r>
      <w:r>
        <w:rPr>
          <w:rFonts w:ascii="Calibri" w:hAnsi="Calibri"/>
          <w:sz w:val="22"/>
        </w:rPr>
        <w:t>Automated health checks and DNS failover via Route 53</w:t>
      </w:r>
    </w:p>
    <w:p>
      <w:pPr>
        <w:spacing w:after="80"/>
        <w:ind w:left="720" w:hanging="360"/>
      </w:pPr>
      <w:r>
        <w:rPr>
          <w:rFonts w:ascii="Calibri" w:hAnsi="Calibri"/>
          <w:sz w:val="22"/>
        </w:rPr>
        <w:t xml:space="preserve">• </w:t>
      </w:r>
      <w:r>
        <w:rPr>
          <w:rFonts w:ascii="Calibri" w:hAnsi="Calibri"/>
          <w:sz w:val="22"/>
        </w:rPr>
        <w:t>Continuous cross-region replication for databases and storage</w:t>
      </w:r>
    </w:p>
    <w:p>
      <w:pPr>
        <w:spacing w:after="80"/>
        <w:ind w:left="720" w:hanging="360"/>
      </w:pPr>
      <w:r>
        <w:rPr>
          <w:rFonts w:ascii="Calibri" w:hAnsi="Calibri"/>
          <w:sz w:val="22"/>
        </w:rPr>
        <w:t xml:space="preserve">• </w:t>
      </w:r>
      <w:r>
        <w:rPr>
          <w:rFonts w:ascii="Calibri" w:hAnsi="Calibri"/>
          <w:sz w:val="22"/>
        </w:rPr>
        <w:t>Cost optimization through reduced capacity in standby region</w:t>
      </w:r>
    </w:p>
    <w:p>
      <w:pPr>
        <w:pStyle w:val="Heading1"/>
        <w:spacing w:before="160" w:after="120"/>
        <w:ind w:left="0" w:firstLine="0"/>
      </w:pPr>
      <w:r>
        <w:t>7 Security &amp; Compliance</w:t>
      </w:r>
    </w:p>
    <w:p>
      <w:pPr>
        <w:pStyle w:val="Heading1"/>
        <w:spacing w:before="160" w:after="120"/>
        <w:ind w:left="0" w:firstLine="0"/>
      </w:pPr>
      <w:r>
        <w:t>8 Testing &amp; Validation</w:t>
      </w:r>
    </w:p>
    <w:p>
      <w:pPr>
        <w:pStyle w:val="Heading1"/>
        <w:spacing w:before="160" w:after="120"/>
        <w:ind w:left="0" w:firstLine="0"/>
      </w:pPr>
      <w:r>
        <w:t>9 Handover &amp; Support</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pilot light DR strategy for 5-10 critical applications with 4-hour RTO and 1-hour RPO targets. For warm/hot standby or enterprise-scale DR,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$93,500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$4,275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$21,563</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$4,401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$106,743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$94,374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$120,860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Total Investment</w:t>
      </w:r>
    </w:p>
    <w:p>
      <w:pPr>
        <w:pStyle w:val="Heading2"/>
        <w:spacing w:before="240" w:after="120"/>
        <w:ind w:left="0" w:firstLine="0"/>
      </w:pPr>
      <w:r>
        <w:t>10.2 AWS Partner Credits</w:t>
      </w:r>
    </w:p>
    <w:p>
      <w:pPr>
        <w:spacing w:after="160"/>
      </w:pPr>
      <w:r>
        <w:rPr>
          <w:rFonts w:ascii="Calibri" w:hAnsi="Calibri"/>
          <w:b/>
          <w:sz w:val="22"/>
        </w:rPr>
        <w:t>Year 1 Credits Applied:</w:t>
      </w:r>
      <w:r>
        <w:rPr>
          <w:rFonts w:ascii="Calibri" w:hAnsi="Calibri"/>
          <w:sz w:val="22"/>
        </w:rPr>
        <w:t xml:space="preserve"> $12,369 (12% reduction)</w:t>
      </w:r>
    </w:p>
    <w:p>
      <w:pPr>
        <w:spacing w:after="80"/>
        <w:ind w:left="720" w:hanging="360"/>
      </w:pPr>
      <w:r>
        <w:rPr>
          <w:rFonts w:ascii="Calibri" w:hAnsi="Calibri"/>
          <w:sz w:val="22"/>
        </w:rPr>
        <w:t xml:space="preserve">• </w:t>
      </w:r>
      <w:r>
        <w:rPr>
          <w:rFonts w:ascii="Calibri" w:hAnsi="Calibri"/>
          <w:b/>
          <w:sz w:val="22"/>
        </w:rPr>
        <w:t>AWS Partner DR Services Credit:</w:t>
      </w:r>
      <w:r>
        <w:rPr>
          <w:rFonts w:ascii="Calibri" w:hAnsi="Calibri"/>
          <w:sz w:val="22"/>
        </w:rPr>
        <w:t xml:space="preserve"> $8,000 applied to DR architecture design and testing validation</w:t>
      </w:r>
    </w:p>
    <w:p>
      <w:pPr>
        <w:spacing w:after="80"/>
        <w:ind w:left="720" w:hanging="360"/>
      </w:pPr>
      <w:r>
        <w:rPr>
          <w:rFonts w:ascii="Calibri" w:hAnsi="Calibri"/>
          <w:sz w:val="22"/>
        </w:rPr>
        <w:t xml:space="preserve">• </w:t>
      </w:r>
      <w:r>
        <w:rPr>
          <w:rFonts w:ascii="Calibri" w:hAnsi="Calibri"/>
          <w:b/>
          <w:sz w:val="22"/>
        </w:rPr>
        <w:t>AWS DR Infrastructure Credit:</w:t>
      </w:r>
      <w:r>
        <w:rPr>
          <w:rFonts w:ascii="Calibri" w:hAnsi="Calibri"/>
          <w:sz w:val="22"/>
        </w:rPr>
        <w:t xml:space="preserve"> $4,369 applied to pilot light DR region costs in Year 1</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$94,374 (after credits) vs. $106,743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$120,860</w:t>
      </w:r>
    </w:p>
    <w:p>
      <w:pPr>
        <w:spacing w:after="80"/>
        <w:ind w:left="720" w:hanging="360"/>
      </w:pPr>
      <w:r>
        <w:rPr>
          <w:rFonts w:ascii="Calibri" w:hAnsi="Calibri"/>
          <w:sz w:val="22"/>
        </w:rPr>
        <w:t xml:space="preserve">• </w:t>
      </w:r>
      <w:r>
        <w:rPr>
          <w:rFonts w:ascii="Calibri" w:hAnsi="Calibri"/>
          <w:b/>
          <w:sz w:val="22"/>
        </w:rPr>
        <w:t>Expected Value:</w:t>
      </w:r>
      <w:r>
        <w:rPr>
          <w:rFonts w:ascii="Calibri" w:hAnsi="Calibri"/>
          <w:sz w:val="22"/>
        </w:rPr>
        <w:t xml:space="preserve"> Risk mitigation - compare $95K Year 1 investment to cost of 4+ hours downtime for critical applications</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($93,500 - 450 hours): Labor costs for discovery, DR architecture design, infrastructure deployment, testing, runbook development, and knowledge transfer. Breakdown:</w:t>
      </w:r>
    </w:p>
    <w:p>
      <w:pPr>
        <w:spacing w:after="80"/>
        <w:ind w:left="720" w:hanging="360"/>
      </w:pPr>
      <w:r>
        <w:rPr>
          <w:rFonts w:ascii="Calibri" w:hAnsi="Calibri"/>
          <w:sz w:val="22"/>
        </w:rPr>
        <w:t xml:space="preserve">• </w:t>
      </w:r>
      <w:r>
        <w:rPr>
          <w:rFonts w:ascii="Calibri" w:hAnsi="Calibri"/>
          <w:sz w:val="22"/>
        </w:rPr>
        <w:t>Discovery &amp; DR design (120 hours): Business impact analysis, RTO/RPO requirements, architecture design, runbook development</w:t>
      </w:r>
    </w:p>
    <w:p>
      <w:pPr>
        <w:spacing w:after="80"/>
        <w:ind w:left="720" w:hanging="360"/>
      </w:pPr>
      <w:r>
        <w:rPr>
          <w:rFonts w:ascii="Calibri" w:hAnsi="Calibri"/>
          <w:sz w:val="22"/>
        </w:rPr>
        <w:t xml:space="preserve">• </w:t>
      </w:r>
      <w:r>
        <w:rPr>
          <w:rFonts w:ascii="Calibri" w:hAnsi="Calibri"/>
          <w:sz w:val="22"/>
        </w:rPr>
        <w:t>Implementation (280 hours): AWS DR environment setup, replication configuration, DR testing, automation</w:t>
      </w:r>
    </w:p>
    <w:p>
      <w:pPr>
        <w:spacing w:after="80"/>
        <w:ind w:left="720" w:hanging="360"/>
      </w:pPr>
      <w:r>
        <w:rPr>
          <w:rFonts w:ascii="Calibri" w:hAnsi="Calibri"/>
          <w:sz w:val="22"/>
        </w:rPr>
        <w:t xml:space="preserve">• </w:t>
      </w:r>
      <w:r>
        <w:rPr>
          <w:rFonts w:ascii="Calibri" w:hAnsi="Calibri"/>
          <w:sz w:val="22"/>
        </w:rPr>
        <w:t>Training &amp; support (50 hours): Operations team training and 30-day hypercare</w:t>
      </w:r>
    </w:p>
    <w:p>
      <w:pPr>
        <w:spacing w:after="160"/>
      </w:pPr>
      <w:r>
        <w:rPr>
          <w:rFonts w:ascii="Calibri" w:hAnsi="Calibri"/>
          <w:b/>
          <w:sz w:val="22"/>
        </w:rPr>
        <w:t>Cloud Infrastructure</w:t>
      </w:r>
      <w:r>
        <w:rPr>
          <w:rFonts w:ascii="Calibri" w:hAnsi="Calibri"/>
          <w:sz w:val="22"/>
        </w:rPr>
        <w:t xml:space="preserve"> ($8,644/year): AWS services for primary region and pilot light DR:</w:t>
      </w:r>
    </w:p>
    <w:p>
      <w:pPr>
        <w:spacing w:after="80"/>
        <w:ind w:left="720" w:hanging="360"/>
      </w:pPr>
      <w:r>
        <w:rPr>
          <w:rFonts w:ascii="Calibri" w:hAnsi="Calibri"/>
          <w:sz w:val="22"/>
        </w:rPr>
        <w:t xml:space="preserve">• </w:t>
      </w:r>
      <w:r>
        <w:rPr>
          <w:rFonts w:ascii="Calibri" w:hAnsi="Calibri"/>
          <w:sz w:val="22"/>
        </w:rPr>
        <w:t>Primary region (EC2, RDS Multi-AZ, ALB, EBS): $6,644/year</w:t>
      </w:r>
    </w:p>
    <w:p>
      <w:pPr>
        <w:spacing w:after="80"/>
        <w:ind w:left="720" w:hanging="360"/>
      </w:pPr>
      <w:r>
        <w:rPr>
          <w:rFonts w:ascii="Calibri" w:hAnsi="Calibri"/>
          <w:sz w:val="22"/>
        </w:rPr>
        <w:t xml:space="preserve">• </w:t>
      </w:r>
      <w:r>
        <w:rPr>
          <w:rFonts w:ascii="Calibri" w:hAnsi="Calibri"/>
          <w:sz w:val="22"/>
        </w:rPr>
        <w:t>DR region (automated backups, Route53, minimal compute for testing): $2,000/year</w:t>
      </w:r>
    </w:p>
    <w:p>
      <w:pPr>
        <w:spacing w:after="80"/>
        <w:ind w:left="720" w:hanging="360"/>
      </w:pPr>
      <w:r>
        <w:rPr>
          <w:rFonts w:ascii="Calibri" w:hAnsi="Calibri"/>
          <w:sz w:val="22"/>
        </w:rPr>
        <w:t xml:space="preserve">• </w:t>
      </w:r>
      <w:r>
        <w:rPr>
          <w:rFonts w:ascii="Calibri" w:hAnsi="Calibri"/>
          <w:sz w:val="22"/>
        </w:rPr>
        <w:t>Pilot light strategy minimizes ongoing costs while maintaining DR capability</w:t>
      </w:r>
    </w:p>
    <w:p>
      <w:pPr>
        <w:spacing w:after="160"/>
      </w:pPr>
      <w:r>
        <w:rPr>
          <w:rFonts w:ascii="Calibri" w:hAnsi="Calibri"/>
          <w:b/>
          <w:sz w:val="22"/>
        </w:rPr>
        <w:t>Software Licenses &amp; Subscriptions</w:t>
      </w:r>
      <w:r>
        <w:rPr>
          <w:rFonts w:ascii="Calibri" w:hAnsi="Calibri"/>
          <w:sz w:val="22"/>
        </w:rPr>
        <w:t xml:space="preserve"> ($3,132/year): Operational tooling for small scope:</w:t>
      </w:r>
    </w:p>
    <w:p>
      <w:pPr>
        <w:spacing w:after="80"/>
        <w:ind w:left="720" w:hanging="360"/>
      </w:pPr>
      <w:r>
        <w:rPr>
          <w:rFonts w:ascii="Calibri" w:hAnsi="Calibri"/>
          <w:sz w:val="22"/>
        </w:rPr>
        <w:t xml:space="preserve">• </w:t>
      </w:r>
      <w:r>
        <w:rPr>
          <w:rFonts w:ascii="Calibri" w:hAnsi="Calibri"/>
          <w:sz w:val="22"/>
        </w:rPr>
        <w:t>Datadog Pro monitoring (6 hosts - primary + DR): $1,656/year</w:t>
      </w:r>
    </w:p>
    <w:p>
      <w:pPr>
        <w:spacing w:after="80"/>
        <w:ind w:left="720" w:hanging="360"/>
      </w:pPr>
      <w:r>
        <w:rPr>
          <w:rFonts w:ascii="Calibri" w:hAnsi="Calibri"/>
          <w:sz w:val="22"/>
        </w:rPr>
        <w:t xml:space="preserve">• </w:t>
      </w:r>
      <w:r>
        <w:rPr>
          <w:rFonts w:ascii="Calibri" w:hAnsi="Calibri"/>
          <w:sz w:val="22"/>
        </w:rPr>
        <w:t>PagerDuty Professional incident management (3 users): $1,476/year</w:t>
      </w:r>
    </w:p>
    <w:p>
      <w:pPr>
        <w:spacing w:after="160"/>
      </w:pPr>
      <w:r>
        <w:rPr>
          <w:rFonts w:ascii="Calibri" w:hAnsi="Calibri"/>
          <w:b/>
          <w:sz w:val="22"/>
        </w:rPr>
        <w:t>Support &amp; Maintenance</w:t>
      </w:r>
      <w:r>
        <w:rPr>
          <w:rFonts w:ascii="Calibri" w:hAnsi="Calibri"/>
          <w:sz w:val="22"/>
        </w:rPr>
        <w:t xml:space="preserve"> ($1,467/year): Ongoing managed services (15% of cloud infrastructure):</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Monthly backup verification</w:t>
      </w:r>
    </w:p>
    <w:p>
      <w:pPr>
        <w:spacing w:after="80"/>
        <w:ind w:left="720" w:hanging="360"/>
      </w:pPr>
      <w:r>
        <w:rPr>
          <w:rFonts w:ascii="Calibri" w:hAnsi="Calibri"/>
          <w:sz w:val="22"/>
        </w:rPr>
        <w:t xml:space="preserve">• </w:t>
      </w:r>
      <w:r>
        <w:rPr>
          <w:rFonts w:ascii="Calibri" w:hAnsi="Calibri"/>
          <w:sz w:val="22"/>
        </w:rPr>
        <w:t>DR runbook updates</w:t>
      </w:r>
    </w:p>
    <w:p>
      <w:pPr>
        <w:spacing w:after="160"/>
      </w:pPr>
      <w:r>
        <w:rPr>
          <w:rFonts w:ascii="Calibri" w:hAnsi="Calibri"/>
          <w:sz w:val="22"/>
        </w:rPr>
        <w:t>Detailed breakdown including primary/DR infrastructure, AWS service consumption, and quarterly testing is provided in cost-breakdown.xlsx.</w:t>
      </w:r>
    </w:p>
    <w:p>
      <w:pPr>
        <w:pStyle w:val="Heading2"/>
        <w:spacing w:before="240" w:after="120"/>
        <w:ind w:left="0" w:firstLine="0"/>
      </w:pPr>
      <w:r>
        <w:t>10.4 Payment Terms</w:t>
      </w:r>
    </w:p>
    <w:p>
      <w:pPr>
        <w:pStyle w:val="Heading3"/>
        <w:spacing w:before="160" w:after="120"/>
        <w:ind w:left="0" w:firstLine="0"/>
      </w:pPr>
      <w:r>
        <w:t>10.4.1 Payment Schedule</w:t>
      </w:r>
    </w:p>
    <w:p>
      <w:pPr>
        <w:spacing w:after="80"/>
        <w:ind w:left="720" w:hanging="360"/>
      </w:pPr>
      <w:r>
        <w:rPr>
          <w:rFonts w:ascii="Calibri" w:hAnsi="Calibri"/>
          <w:sz w:val="22"/>
        </w:rPr>
        <w:t xml:space="preserve">• </w:t>
      </w:r>
      <w:r>
        <w:rPr>
          <w:rFonts w:ascii="Calibri" w:hAnsi="Calibri"/>
          <w:sz w:val="22"/>
        </w:rPr>
        <w:t>30% upon SOW execution and project kickoff</w:t>
      </w:r>
    </w:p>
    <w:p>
      <w:pPr>
        <w:spacing w:after="80"/>
        <w:ind w:left="720" w:hanging="360"/>
      </w:pPr>
      <w:r>
        <w:rPr>
          <w:rFonts w:ascii="Calibri" w:hAnsi="Calibri"/>
          <w:sz w:val="22"/>
        </w:rPr>
        <w:t xml:space="preserve">• </w:t>
      </w:r>
      <w:r>
        <w:rPr>
          <w:rFonts w:ascii="Calibri" w:hAnsi="Calibri"/>
          <w:sz w:val="22"/>
        </w:rPr>
        <w:t>25% upon completion of DR infrastructure setup</w:t>
      </w:r>
    </w:p>
    <w:p>
      <w:pPr>
        <w:spacing w:after="80"/>
        <w:ind w:left="720" w:hanging="360"/>
      </w:pPr>
      <w:r>
        <w:rPr>
          <w:rFonts w:ascii="Calibri" w:hAnsi="Calibri"/>
          <w:sz w:val="22"/>
        </w:rPr>
        <w:t xml:space="preserve">• </w:t>
      </w:r>
      <w:r>
        <w:rPr>
          <w:rFonts w:ascii="Calibri" w:hAnsi="Calibri"/>
          <w:sz w:val="22"/>
        </w:rPr>
        <w:t>25% upon successful DR testing and validation</w:t>
      </w:r>
    </w:p>
    <w:p>
      <w:pPr>
        <w:spacing w:after="80"/>
        <w:ind w:left="720" w:hanging="360"/>
      </w:pPr>
      <w:r>
        <w:rPr>
          <w:rFonts w:ascii="Calibri" w:hAnsi="Calibri"/>
          <w:sz w:val="22"/>
        </w:rPr>
        <w:t xml:space="preserve">• </w:t>
      </w:r>
      <w:r>
        <w:rPr>
          <w:rFonts w:ascii="Calibri" w:hAnsi="Calibri"/>
          <w:sz w:val="22"/>
        </w:rPr>
        <w:t>20% upon training completion and project acceptance</w:t>
      </w:r>
    </w:p>
    <w:p>
      <w:pPr>
        <w:pStyle w:val="Heading1"/>
        <w:spacing w:before="160" w:after="120"/>
        <w:ind w:left="0" w:firstLine="0"/>
      </w:pPr>
      <w:r>
        <w:t>11 Terms &amp; Conditions</w:t>
      </w:r>
    </w:p>
    <w:p>
      <w:pPr>
        <w:pStyle w:val="Heading2"/>
        <w:spacing w:before="240" w:after="120"/>
        <w:ind w:left="0" w:firstLine="0"/>
      </w:pPr>
      <w:r>
        <w:t>11.1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application configurations</w:t>
      </w:r>
    </w:p>
    <w:p>
      <w:pPr>
        <w:spacing w:after="80"/>
        <w:ind w:left="720" w:hanging="360"/>
      </w:pPr>
      <w:r>
        <w:rPr>
          <w:rFonts w:ascii="Calibri" w:hAnsi="Calibri"/>
          <w:sz w:val="22"/>
        </w:rPr>
        <w:t xml:space="preserve">• </w:t>
      </w:r>
      <w:r>
        <w:rPr>
          <w:rFonts w:ascii="Calibri" w:hAnsi="Calibri"/>
          <w:sz w:val="22"/>
        </w:rPr>
        <w:t>Vendor retains ownership of DR methodologies and automation tools</w:t>
      </w:r>
    </w:p>
    <w:p>
      <w:pPr>
        <w:spacing w:after="80"/>
        <w:ind w:left="720" w:hanging="360"/>
      </w:pPr>
      <w:r>
        <w:rPr>
          <w:rFonts w:ascii="Calibri" w:hAnsi="Calibri"/>
          <w:sz w:val="22"/>
        </w:rPr>
        <w:t xml:space="preserve">• </w:t>
      </w:r>
      <w:r>
        <w:rPr>
          <w:rFonts w:ascii="Calibri" w:hAnsi="Calibri"/>
          <w:sz w:val="22"/>
        </w:rPr>
        <w:t>DR configuration and procedures become client property upon final payment</w:t>
      </w:r>
    </w:p>
    <w:p>
      <w:pPr>
        <w:pStyle w:val="Heading2"/>
        <w:spacing w:before="240" w:after="120"/>
        <w:ind w:left="0" w:firstLine="0"/>
      </w:pPr>
      <w:r>
        <w:t>11.2 Confidentiality</w:t>
      </w:r>
    </w:p>
    <w:p>
      <w:pPr>
        <w:spacing w:after="160"/>
      </w:pPr>
      <w:r>
        <w:rPr>
          <w:rFonts w:ascii="Calibri" w:hAnsi="Calibri"/>
          <w:sz w:val="22"/>
        </w:rPr>
        <w:t>Both parties agree to maintain strict confidentiality of business continuity plans, system configurations, and sensitive data throughout the project and beyond.</w:t>
      </w:r>
    </w:p>
    <w:p>
      <w:pPr>
        <w:pStyle w:val="Heading2"/>
        <w:spacing w:before="240" w:after="120"/>
        <w:ind w:left="0" w:firstLine="0"/>
      </w:pPr>
      <w:r>
        <w:t>11.3 Warranty &amp; Support</w:t>
      </w:r>
    </w:p>
    <w:p>
      <w:pPr>
        <w:spacing w:after="80"/>
        <w:ind w:left="720" w:hanging="360"/>
      </w:pPr>
      <w:r>
        <w:rPr>
          <w:rFonts w:ascii="Calibri" w:hAnsi="Calibri"/>
          <w:sz w:val="22"/>
        </w:rPr>
        <w:t xml:space="preserve">• </w:t>
      </w:r>
      <w:r>
        <w:rPr>
          <w:rFonts w:ascii="Calibri" w:hAnsi="Calibri"/>
          <w:sz w:val="22"/>
        </w:rPr>
        <w:t>90-day warranty on all DR deliverables from go-live date</w:t>
      </w:r>
    </w:p>
    <w:p>
      <w:pPr>
        <w:spacing w:after="80"/>
        <w:ind w:left="720" w:hanging="360"/>
      </w:pPr>
      <w:r>
        <w:rPr>
          <w:rFonts w:ascii="Calibri" w:hAnsi="Calibri"/>
          <w:sz w:val="22"/>
        </w:rPr>
        <w:t xml:space="preserve">• </w:t>
      </w:r>
      <w:r>
        <w:rPr>
          <w:rFonts w:ascii="Calibri" w:hAnsi="Calibri"/>
          <w:sz w:val="22"/>
        </w:rPr>
        <w:t>DR system defect resolution included at no additional cost during warranty period</w:t>
      </w:r>
    </w:p>
    <w:p>
      <w:pPr>
        <w:spacing w:after="80"/>
        <w:ind w:left="720" w:hanging="360"/>
      </w:pPr>
      <w:r>
        <w:rPr>
          <w:rFonts w:ascii="Calibri" w:hAnsi="Calibri"/>
          <w:sz w:val="22"/>
        </w:rPr>
        <w:t xml:space="preserve">• </w:t>
      </w:r>
      <w:r>
        <w:rPr>
          <w:rFonts w:ascii="Calibri" w:hAnsi="Calibri"/>
          <w:sz w:val="22"/>
        </w:rPr>
        <w:t>Post-warranty DR support available under separate maintenance agreement</w:t>
      </w:r>
    </w:p>
    <w:p>
      <w:pPr>
        <w:pStyle w:val="Heading2"/>
        <w:spacing w:before="240" w:after="120"/>
        <w:ind w:left="0" w:firstLine="0"/>
      </w:pPr>
      <w:r>
        <w:t>11.4 Limitation of Liability</w:t>
      </w:r>
    </w:p>
    <w:p>
      <w:pPr>
        <w:spacing w:after="160"/>
      </w:pPr>
      <w:r>
        <w:rPr>
          <w:rFonts w:ascii="Calibri" w:hAnsi="Calibri"/>
          <w:sz w:val="22"/>
        </w:rPr>
        <w:t>Vendor's liability is limited to the total contract value. Neither party shall be liable for indirect, incidental, or consequential damages related to DR implementation.</w:t>
      </w:r>
    </w:p>
    <w:p>
      <w:pPr>
        <w:pStyle w:val="Heading2"/>
        <w:spacing w:before="240" w:after="120"/>
        <w:ind w:left="0" w:firstLine="0"/>
      </w:pPr>
      <w:r>
        <w:t>11.5 Governing Law</w:t>
      </w:r>
    </w:p>
    <w:p>
      <w:pPr>
        <w:spacing w:after="160"/>
      </w:pP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disaster recovery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