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828800" cy="60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0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45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Calibri" w:hAnsi="Calibri"/>
          <w:b/>
          <w:color w:val="5B6770"/>
          <w:sz w:val="40"/>
        </w:rPr>
        <w:t>Azure Sentinel SIEM Implementation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6120"/>
      </w:tblGrid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Client: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'[Client Name]'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Date: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November 15, 2025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Consulting Company: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Your Consulting Company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Submitted By: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'[Consultant Name | Email | Phone]'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Opportunity No: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OPP-2025-001</w:t>
            </w:r>
          </w:p>
        </w:tc>
      </w:tr>
      <w:tr>
        <w:tc>
          <w:tcPr>
            <w:tcW w:type="dxa" w:w="288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80" w:after="80"/>
            </w:pPr>
            <w:r>
              <w:rPr>
                <w:rFonts w:ascii="Calibri" w:hAnsi="Calibri"/>
                <w:b/>
                <w:sz w:val="22"/>
              </w:rPr>
              <w:t>Version:</w:t>
            </w:r>
          </w:p>
        </w:tc>
        <w:tc>
          <w:tcPr>
            <w:tcW w:type="dxa" w:w="612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t>'1.0'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  <w:spacing w:after="60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Calibri" w:hAnsi="Calibri"/>
          <w:sz w:val="22"/>
        </w:rPr>
        <w:t>1 Introduction</w:t>
      </w:r>
      <w:r>
        <w:br/>
      </w:r>
      <w:r>
        <w:rPr>
          <w:rFonts w:ascii="Calibri" w:hAnsi="Calibri"/>
          <w:sz w:val="22"/>
        </w:rPr>
        <w:t xml:space="preserve">    1.1 Purpose</w:t>
      </w:r>
      <w:r>
        <w:br/>
      </w:r>
      <w:r>
        <w:rPr>
          <w:rFonts w:ascii="Calibri" w:hAnsi="Calibri"/>
          <w:sz w:val="22"/>
        </w:rPr>
        <w:t xml:space="preserve">        1.1.1 Scope</w:t>
      </w:r>
      <w:r>
        <w:br/>
      </w:r>
      <w:r>
        <w:rPr>
          <w:rFonts w:ascii="Calibri" w:hAnsi="Calibri"/>
          <w:sz w:val="22"/>
        </w:rPr>
        <w:t>2 Table Content</w:t>
      </w:r>
      <w:r>
        <w:br/>
      </w:r>
      <w:r>
        <w:rPr>
          <w:rFonts w:ascii="Calibri" w:hAnsi="Calibri"/>
          <w:sz w:val="22"/>
        </w:rPr>
        <w:t>3 Image Section</w:t>
      </w:r>
      <w:r>
        <w:br/>
      </w:r>
      <w:r>
        <w:rPr>
          <w:rFonts w:ascii="Calibri" w:hAnsi="Calibri"/>
          <w:sz w:val="22"/>
        </w:rPr>
        <w:t>4 Additional Content</w:t>
      </w:r>
      <w:r>
        <w:br/>
      </w:r>
      <w:r>
        <w:rPr>
          <w:rFonts w:ascii="Calibri" w:hAnsi="Calibri"/>
          <w:sz w:val="22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  <w:spacing w:after="60" w:before="120"/>
      </w:pPr>
      <w:r>
        <w:t>List of Figures</w:t>
      </w:r>
    </w:p>
    <w:p>
      <w:pPr/>
      <w:r>
        <w:fldChar w:fldCharType="begin"/>
      </w:r>
      <w:r>
        <w:instrText xml:space="preserve"> TOC \h \z \c "Figure" </w:instrText>
      </w:r>
      <w:r>
        <w:fldChar w:fldCharType="separate"/>
      </w:r>
      <w:r>
        <w:rPr>
          <w:rFonts w:ascii="Calibri" w:hAnsi="Calibri"/>
          <w:sz w:val="24"/>
        </w:rPr>
        <w:t>Figure 1: Architecture Diagram</w:t>
        <w:tab/>
        <w:t>11</w:t>
      </w:r>
      <w:r>
        <w:fldChar w:fldCharType="end"/>
      </w:r>
    </w:p>
    <w:p>
      <w:pPr>
        <w:pStyle w:val="Heading1"/>
        <w:spacing w:after="60" w:before="120"/>
      </w:pPr>
      <w:r>
        <w:t>List of Tables</w:t>
      </w:r>
    </w:p>
    <w:p>
      <w:pPr/>
      <w:r>
        <w:fldChar w:fldCharType="begin"/>
      </w:r>
      <w:r>
        <w:instrText xml:space="preserve"> TOC \h \z \c "Table" </w:instrText>
      </w:r>
      <w:r>
        <w:fldChar w:fldCharType="separate"/>
      </w:r>
      <w:r>
        <w:rPr>
          <w:rFonts w:ascii="Calibri" w:hAnsi="Calibri"/>
          <w:sz w:val="24"/>
        </w:rPr>
        <w:t>Table 1: Engagement Scope Parameters</w:t>
        <w:tab/>
        <w:t>3</w:t>
        <w:br/>
      </w:r>
      <w:r>
        <w:rPr>
          <w:rFonts w:ascii="Calibri" w:hAnsi="Calibri"/>
          <w:sz w:val="24"/>
        </w:rPr>
        <w:t>Table 2: Project Milestones</w:t>
        <w:tab/>
        <w:t>4</w:t>
        <w:br/>
      </w:r>
      <w:r>
        <w:rPr>
          <w:rFonts w:ascii="Calibri" w:hAnsi="Calibri"/>
          <w:sz w:val="24"/>
        </w:rPr>
        <w:t>Table 3: Project Deliverables and Acceptance Criteria</w:t>
        <w:tab/>
        <w:t>5</w:t>
        <w:br/>
      </w:r>
      <w:r>
        <w:rPr>
          <w:rFonts w:ascii="Calibri" w:hAnsi="Calibri"/>
          <w:sz w:val="24"/>
        </w:rPr>
        <w:t>Table 4: Roles and Responsibilities (RACI Matrix)</w:t>
        <w:tab/>
        <w:t>6</w:t>
        <w:br/>
      </w:r>
      <w:r>
        <w:rPr>
          <w:rFonts w:ascii="Calibri" w:hAnsi="Calibri"/>
          <w:sz w:val="24"/>
        </w:rPr>
        <w:t>Table 5: Investment Summary</w:t>
        <w:tab/>
        <w:t>7</w:t>
      </w:r>
      <w:r>
        <w:fldChar w:fldCharType="end"/>
      </w:r>
    </w:p>
    <w:p>
      <w:r>
        <w:br w:type="page"/>
      </w:r>
    </w:p>
    <w:p>
      <w:pPr>
        <w:pStyle w:val="Heading1"/>
        <w:spacing w:before="160" w:after="120"/>
        <w:ind w:left="0" w:firstLine="0"/>
      </w:pPr>
      <w:r>
        <w:t>1 Executive Summary</w:t>
      </w:r>
    </w:p>
    <w:p>
      <w:pPr>
        <w:spacing w:after="160"/>
      </w:pPr>
      <w:r>
        <w:rPr>
          <w:rFonts w:ascii="Calibri" w:hAnsi="Calibri"/>
          <w:sz w:val="22"/>
        </w:rPr>
        <w:t xml:space="preserve">This Statement of Work defines the scope, deliverables, timeline, and terms for the </w:t>
      </w:r>
      <w:r>
        <w:rPr>
          <w:rFonts w:ascii="Calibri" w:hAnsi="Calibri"/>
          <w:b/>
          <w:sz w:val="22"/>
        </w:rPr>
        <w:t>Azure Sentinel SIEM</w:t>
      </w:r>
      <w:r>
        <w:rPr>
          <w:rFonts w:ascii="Calibri" w:hAnsi="Calibri"/>
          <w:sz w:val="22"/>
        </w:rPr>
        <w:t xml:space="preserve"> implementation. This engagement will transform your organization's capabilities by delivering a comprehensive, enterprise-grade solution designed to meet your specific business requirements.</w:t>
      </w:r>
    </w:p>
    <w:p>
      <w:pPr>
        <w:spacing w:after="160"/>
      </w:pPr>
      <w:r>
        <w:rPr>
          <w:rFonts w:ascii="Calibri" w:hAnsi="Calibri"/>
          <w:b/>
          <w:sz w:val="22"/>
        </w:rPr>
        <w:t>Project Duration:</w:t>
      </w:r>
      <w:r>
        <w:rPr>
          <w:rFonts w:ascii="Calibri" w:hAnsi="Calibri"/>
          <w:sz w:val="22"/>
        </w:rPr>
        <w:t xml:space="preserve"> 12 weeks (as detailed in Timeline &amp; Milestones section)</w:t>
      </w:r>
    </w:p>
    <w:p>
      <w:pPr>
        <w:spacing w:after="160"/>
      </w:pPr>
      <w:r>
        <w:rPr>
          <w:rFonts w:ascii="Calibri" w:hAnsi="Calibri"/>
          <w:b/>
          <w:sz w:val="22"/>
        </w:rPr>
        <w:t>Key Objectives: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and configure Azure Sentinel SIEM according to best practices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existing enterprise systems and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technical staff on operations and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Achieve defined success metrics and business outcomes</w:t>
      </w:r>
    </w:p>
    <w:p>
      <w:pPr>
        <w:pStyle w:val="Heading1"/>
        <w:spacing w:before="160" w:after="120"/>
        <w:ind w:left="0" w:firstLine="0"/>
      </w:pPr>
      <w:r>
        <w:t>2 Background &amp; Objectives</w:t>
      </w:r>
    </w:p>
    <w:p>
      <w:pPr>
        <w:pStyle w:val="Heading2"/>
        <w:spacing w:before="240" w:after="120"/>
        <w:ind w:left="0" w:firstLine="0"/>
      </w:pPr>
      <w:r>
        <w:t>2.1 Business Context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two_column</w:t>
      </w:r>
    </w:p>
    <w:p>
      <w:pPr>
        <w:spacing w:after="160"/>
      </w:pPr>
      <w:r>
        <w:rPr>
          <w:rFonts w:ascii="Calibri" w:hAnsi="Calibri"/>
          <w:b/>
          <w:sz w:val="22"/>
        </w:rPr>
        <w:t>Transforming Security Operations with Cloud-Native SIEM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Opportunity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Detect and respond to threats 10x faster with AI-powered analytics and automated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Reduce mean time to detect (MTTD) from hours to minutes with real-time threat correlation across all data 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Consolidate fragmented security tools into unified platform, reducing tool sprawl and operational complexity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Enable advanced threat hunting and forensic analysis across historical and real-time security data</w:t>
      </w:r>
    </w:p>
    <w:p>
      <w:pPr>
        <w:spacing w:after="160"/>
      </w:pPr>
      <w:r>
        <w:rPr>
          <w:rFonts w:ascii="Calibri" w:hAnsi="Calibri"/>
          <w:b/>
          <w:sz w:val="22"/>
        </w:rPr>
        <w:t>Success Criteria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90% reduction in mean time to respond (MTTR) with measurable incident resolution improvements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99%+ uptime for security operations with built-in redundancy and failover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50%+ reduction in false positive alerts through ML-powered anomaly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ROI realization within 12 months through reduced security incidents and operational efficiency gains</w:t>
      </w:r>
    </w:p>
    <w:p>
      <w:pPr>
        <w:pStyle w:val="Heading1"/>
        <w:spacing w:before="160" w:after="120"/>
        <w:ind w:left="0" w:firstLine="0"/>
      </w:pPr>
      <w:r>
        <w:t>3 Scope of Work</w:t>
      </w:r>
    </w:p>
    <w:p>
      <w:pPr>
        <w:pStyle w:val="Heading2"/>
        <w:spacing w:before="240" w:after="120"/>
        <w:ind w:left="0" w:firstLine="0"/>
      </w:pPr>
      <w:r>
        <w:t>3.1 In Scope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single</w:t>
      </w:r>
    </w:p>
    <w:p>
      <w:pPr>
        <w:spacing w:after="160"/>
      </w:pPr>
      <w:r>
        <w:rPr>
          <w:rFonts w:ascii="Calibri" w:hAnsi="Calibri"/>
          <w:b/>
          <w:sz w:val="22"/>
        </w:rPr>
        <w:t>Proven Methodology for Enterprise Security Success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Phase 1: Foundation (Weeks 1-4)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Azure Sentinel workspace and configure Log Analytics storage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data connectors for primary sources (Office 365, Azure AD, Defender for Cloud)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identity and access controls with RBAC and privilege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centralized logging and audit trail capabilities</w:t>
      </w:r>
    </w:p>
    <w:p>
      <w:pPr>
        <w:spacing w:after="160"/>
      </w:pPr>
      <w:r>
        <w:rPr>
          <w:rFonts w:ascii="Calibri" w:hAnsi="Calibri"/>
          <w:b/>
          <w:sz w:val="22"/>
        </w:rPr>
        <w:t>Phase 2: Analytics &amp; Detection (Weeks 5-8)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Deploy 50+ built-in KQL analytics rules with high-fidelity detections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Configure threat intelligence feeds and integration with external threat sources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Implement custom detection rules based on organization-specific threats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Establish incident investigation workflows and SOC procedures</w:t>
      </w:r>
    </w:p>
    <w:p>
      <w:pPr>
        <w:spacing w:after="160"/>
      </w:pPr>
      <w:r>
        <w:rPr>
          <w:rFonts w:ascii="Calibri" w:hAnsi="Calibri"/>
          <w:b/>
          <w:sz w:val="22"/>
        </w:rPr>
        <w:t>Phase 3: Automation &amp; Optimization (Weeks 9-12)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Develop and test SOAR playbooks for automated incident response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Integrate with external systems (ticketing, communication, IR tools)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Optimize alert tuning to reduce false positives while maintaining detection rate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Train SOC team on advanced hunting and investigation techniques</w:t>
      </w:r>
    </w:p>
    <w:p>
      <w:pPr>
        <w:pStyle w:val="Heading3"/>
        <w:spacing w:before="160" w:after="120"/>
        <w:ind w:left="0" w:firstLine="0"/>
      </w:pPr>
      <w:r>
        <w:t>3.1.1 Scope Parameters</w:t>
      </w:r>
    </w:p>
    <w:p>
      <w:pPr>
        <w:spacing w:after="120"/>
      </w:pPr>
      <w:r>
        <w:rPr>
          <w:rFonts w:ascii="Calibri" w:hAnsi="Calibri"/>
          <w:sz w:val="22"/>
        </w:rPr>
        <w:t>This engagement is sized based on the following parameters:</w:t>
      </w:r>
    </w:p>
    <w:p>
      <w:pPr>
        <w:spacing w:after="160"/>
      </w:pPr>
      <w:r>
        <w:rPr>
          <w:rFonts w:ascii="Calibri" w:hAnsi="Calibri"/>
          <w:i/>
          <w:sz w:val="22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 w:firstLine="0"/>
      </w:pPr>
      <w:r>
        <w:t>3.2 Out of Scope</w:t>
      </w:r>
    </w:p>
    <w:p>
      <w:pPr>
        <w:spacing w:after="160"/>
      </w:pPr>
      <w:r>
        <w:rPr>
          <w:rFonts w:ascii="Calibri" w:hAnsi="Calibri"/>
          <w:sz w:val="22"/>
        </w:rPr>
        <w:t>These items are not in scope unless added via change control: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development beyond standard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Third-party application licensing (unless specified)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Hardware procurement or disposal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End-user training (technical team only)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Ongoing managed services post-hypercare</w:t>
      </w:r>
    </w:p>
    <w:p>
      <w:pPr>
        <w:pStyle w:val="Heading1"/>
        <w:spacing w:before="160" w:after="120"/>
        <w:ind w:left="0" w:firstLine="0"/>
      </w:pPr>
      <w:r>
        <w:t>4 Deliverables &amp; Timeline</w:t>
      </w:r>
    </w:p>
    <w:p>
      <w:pPr>
        <w:pStyle w:val="Heading2"/>
        <w:spacing w:before="240" w:after="120"/>
        <w:ind w:left="0" w:firstLine="0"/>
      </w:pPr>
      <w:r>
        <w:t>4.1 Project Milestones</w:t>
      </w:r>
    </w:p>
    <w:p>
      <w:pPr>
        <w:spacing w:after="120"/>
      </w:pPr>
      <w:r>
        <w:rPr>
          <w:rFonts w:ascii="Calibri" w:hAnsi="Calibri"/>
          <w:sz w:val="22"/>
        </w:rPr>
        <w:t>**layout:** table</w:t>
      </w:r>
    </w:p>
    <w:p>
      <w:pPr>
        <w:spacing w:after="120"/>
      </w:pPr>
      <w:r>
        <w:rPr>
          <w:rFonts w:ascii="Calibri" w:hAnsi="Calibri"/>
          <w:sz w:val="22"/>
        </w:rPr>
        <w:t>**Path to Value Realization**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No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Phase Description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Timeline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Key Deliverables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1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Foundation &amp; Data Ingestion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1-4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Sentinel workspace operational, Primary data connectors live, Identity controls configured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Analytics &amp; Detection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5-8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50+ detection rules deployed, Threat intel integration live, Investigation procedures documented</w:t>
            </w:r>
          </w:p>
        </w:tc>
      </w:tr>
      <w:tr>
        <w:tc>
          <w:tcPr>
            <w:tcW w:type="dxa" w:w="66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Phase 3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Automation &amp; Optimization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Weeks 9-12</w:t>
            </w:r>
          </w:p>
        </w:tc>
        <w:tc>
          <w:tcPr>
            <w:tcW w:type="dxa" w:w="289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SOAR playbooks operational, SOC team trained, Alert tuning completed, Hunting capabilities enabled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2</w:t>
      </w:r>
      <w:r>
        <w:fldChar w:fldCharType="end"/>
      </w:r>
      <w:r>
        <w:rPr>
          <w:rFonts w:ascii="Calibri" w:hAnsi="Calibri"/>
          <w:sz w:val="24"/>
        </w:rPr>
        <w:t>: Project Milestones</w:t>
      </w:r>
    </w:p>
    <w:p>
      <w:pPr>
        <w:pStyle w:val="Heading2"/>
        <w:spacing w:before="240" w:after="120"/>
        <w:ind w:left="0" w:firstLine="0"/>
      </w:pPr>
      <w:r>
        <w:t>4.2 Key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#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Deliverable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Type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Due Date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1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 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4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2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Runbook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8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Operations Team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3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 Results Report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10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QA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4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As-Built Documentation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Document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5</w:t>
            </w:r>
          </w:p>
        </w:tc>
        <w:tc>
          <w:tcPr>
            <w:tcW w:type="dxa" w:w="327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 Sessions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Training</w:t>
            </w:r>
          </w:p>
        </w:tc>
        <w:tc>
          <w:tcPr>
            <w:tcW w:type="dxa" w:w="141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Week 12</w:t>
            </w:r>
          </w:p>
        </w:tc>
        <w:tc>
          <w:tcPr>
            <w:tcW w:type="dxa" w:w="2506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Technical Team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3</w:t>
      </w:r>
      <w:r>
        <w:fldChar w:fldCharType="end"/>
      </w:r>
      <w:r>
        <w:rPr>
          <w:rFonts w:ascii="Calibri" w:hAnsi="Calibri"/>
          <w:sz w:val="24"/>
        </w:rPr>
        <w:t>: Project Deliverables and Acceptance Criteria</w:t>
      </w:r>
    </w:p>
    <w:p>
      <w:pPr>
        <w:pStyle w:val="Heading1"/>
        <w:spacing w:before="160" w:after="120"/>
        <w:ind w:left="0" w:firstLine="0"/>
      </w:pPr>
      <w:r>
        <w:t>5 Roles &amp; Responsibilities</w:t>
      </w:r>
    </w:p>
    <w:p>
      <w:pPr>
        <w:pStyle w:val="Heading2"/>
        <w:spacing w:before="240" w:after="120"/>
        <w:ind w:left="0" w:firstLine="0"/>
      </w:pPr>
      <w:r>
        <w:t>5.1 RACI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Task/Deliverable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PM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Arch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Vendor Eng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IT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Client Mgmt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SME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Solution Architecture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Infrastructure Setup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Configuration &amp; Tuning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Integration Development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Testing &amp; Validation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Knowledge Transfer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  <w:tr>
        <w:tc>
          <w:tcPr>
            <w:tcW w:type="dxa" w:w="1939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Project Management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A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1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R</w:t>
            </w:r>
          </w:p>
        </w:tc>
        <w:tc>
          <w:tcPr>
            <w:tcW w:type="dxa" w:w="133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4</w:t>
      </w:r>
      <w:r>
        <w:fldChar w:fldCharType="end"/>
      </w:r>
      <w:r>
        <w:rPr>
          <w:rFonts w:ascii="Calibri" w:hAnsi="Calibri"/>
          <w:sz w:val="24"/>
        </w:rPr>
        <w:t>: Roles and Responsibilities (RACI Matrix)</w:t>
      </w:r>
    </w:p>
    <w:p>
      <w:pPr>
        <w:spacing w:after="160"/>
      </w:pPr>
      <w:r>
        <w:rPr>
          <w:rFonts w:ascii="Calibri" w:hAnsi="Calibri"/>
          <w:b/>
          <w:sz w:val="22"/>
        </w:rPr>
        <w:t>Legend:</w:t>
      </w:r>
      <w:r>
        <w:rPr>
          <w:rFonts w:ascii="Calibri" w:hAnsi="Calibri"/>
          <w:sz w:val="22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 w:firstLine="0"/>
      </w:pPr>
      <w:r>
        <w:t>5.2 Key Personnel</w:t>
      </w:r>
    </w:p>
    <w:p>
      <w:pPr>
        <w:spacing w:after="160"/>
      </w:pPr>
      <w:r>
        <w:rPr>
          <w:rFonts w:ascii="Calibri" w:hAnsi="Calibri"/>
          <w:b/>
          <w:sz w:val="22"/>
        </w:rPr>
        <w:t>Vendor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Project Manager: Overall delivery accountability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Solution Architect: Technical design and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Engineers: Implementation and configuration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Support Specialist: Training and hypercare</w:t>
      </w:r>
    </w:p>
    <w:p>
      <w:pPr>
        <w:spacing w:after="160"/>
      </w:pPr>
      <w:r>
        <w:rPr>
          <w:rFonts w:ascii="Calibri" w:hAnsi="Calibri"/>
          <w:b/>
          <w:sz w:val="22"/>
        </w:rPr>
        <w:t>Client Team: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IT Lead: Primary technical contact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Management Sponsor: Executive oversight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Team: Knowledge transfer recipients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Subject Matter Experts: Requirements validation</w:t>
      </w:r>
    </w:p>
    <w:p>
      <w:pPr>
        <w:pStyle w:val="Heading1"/>
        <w:spacing w:before="160" w:after="120"/>
        <w:ind w:left="0" w:firstLine="0"/>
      </w:pPr>
      <w:r>
        <w:t>6 Architecture &amp; Design</w:t>
      </w:r>
    </w:p>
    <w:p>
      <w:pPr>
        <w:pStyle w:val="Heading2"/>
        <w:spacing w:before="240" w:after="120"/>
        <w:ind w:left="0" w:firstLine="0"/>
      </w:pPr>
      <w:r>
        <w:t>6.1 Solution Architecture</w:t>
      </w:r>
    </w:p>
    <w:p>
      <w:pPr>
        <w:spacing w:after="160"/>
      </w:pPr>
      <w:r>
        <w:rPr>
          <w:rFonts w:ascii="Calibri" w:hAnsi="Calibri"/>
          <w:b/>
          <w:sz w:val="22"/>
        </w:rPr>
        <w:t>layout:</w:t>
      </w:r>
      <w:r>
        <w:rPr>
          <w:rFonts w:ascii="Calibri" w:hAnsi="Calibri"/>
          <w:sz w:val="22"/>
        </w:rPr>
        <w:t xml:space="preserve"> visual</w:t>
      </w:r>
    </w:p>
    <w:p>
      <w:pPr>
        <w:spacing w:after="160"/>
      </w:pPr>
      <w:r>
        <w:rPr>
          <w:rFonts w:ascii="Calibri" w:hAnsi="Calibri"/>
          <w:b/>
          <w:sz w:val="22"/>
        </w:rPr>
        <w:t>Cloud-Native Security Intelligence Platform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92925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925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4"/>
        </w:rPr>
        <w:t>1</w:t>
      </w:r>
      <w:r>
        <w:fldChar w:fldCharType="end"/>
      </w:r>
      <w:r>
        <w:rPr>
          <w:rFonts w:ascii="Calibri" w:hAnsi="Calibri"/>
          <w:sz w:val="24"/>
        </w:rPr>
        <w:t>: Architecture Diagram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b/>
          <w:sz w:val="22"/>
        </w:rPr>
        <w:t>Data Ingestion Layer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Multi-source data collection from Office 365, Azure AD, Microsoft Defender, firewalls, and third-party SIEMs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connectors for rapid onboarding with zero custom configuration</w:t>
      </w:r>
    </w:p>
    <w:p>
      <w:pPr>
        <w:spacing w:after="160"/>
      </w:pPr>
      <w:r>
        <w:rPr>
          <w:rFonts w:ascii="Calibri" w:hAnsi="Calibri"/>
          <w:b/>
          <w:sz w:val="22"/>
        </w:rPr>
        <w:t>Analytics Engine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KQL (Kusto Query Language) rules for threat detection with 200+ built-in detections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ML models for anomaly detection identifying unusual patterns and behaviors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Threat intelligence integration for correlation with known attack patterns</w:t>
      </w:r>
    </w:p>
    <w:p>
      <w:pPr>
        <w:spacing w:after="160"/>
      </w:pPr>
      <w:r>
        <w:rPr>
          <w:rFonts w:ascii="Calibri" w:hAnsi="Calibri"/>
          <w:b/>
          <w:sz w:val="22"/>
        </w:rPr>
        <w:t>Incident Management &amp; Investigation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incident investigation with AI-powered timeline reconstruction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Advanced hunting capabilities for manual threat investigation and forensics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Workbooks and dashboards for real-time visibility</w:t>
      </w:r>
    </w:p>
    <w:p>
      <w:pPr>
        <w:spacing w:after="160"/>
      </w:pPr>
      <w:r>
        <w:rPr>
          <w:rFonts w:ascii="Calibri" w:hAnsi="Calibri"/>
          <w:b/>
          <w:sz w:val="22"/>
        </w:rPr>
        <w:t>SOAR Automation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Logic Apps for automated 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Custom playbook development for organization-specific workflows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with existing ticketing and communication systems</w:t>
      </w:r>
    </w:p>
    <w:p>
      <w:pPr>
        <w:pStyle w:val="Heading2"/>
        <w:spacing w:before="240" w:after="120"/>
        <w:ind w:left="0" w:firstLine="0"/>
      </w:pPr>
      <w:r>
        <w:t>6.2 Technical Implementation</w:t>
      </w:r>
    </w:p>
    <w:p>
      <w:pPr>
        <w:spacing w:after="160"/>
      </w:pPr>
      <w:r>
        <w:rPr>
          <w:rFonts w:ascii="Calibri" w:hAnsi="Calibri"/>
          <w:sz w:val="22"/>
        </w:rPr>
        <w:t>The implementation will follow industry best practices with: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Infrastructure as Code for repeatable deployments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for consistency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Automated testing and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Comprehensive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Security-first design principles</w:t>
      </w:r>
    </w:p>
    <w:p>
      <w:pPr>
        <w:pStyle w:val="Heading1"/>
        <w:spacing w:before="160" w:after="120"/>
        <w:ind w:left="0" w:firstLine="0"/>
      </w:pPr>
      <w:r>
        <w:t>7 Security &amp; Compliance</w:t>
      </w:r>
    </w:p>
    <w:p>
      <w:pPr>
        <w:pStyle w:val="Heading2"/>
        <w:spacing w:before="240" w:after="120"/>
        <w:ind w:left="0" w:firstLine="0"/>
      </w:pPr>
      <w:r>
        <w:t>7.1 Identity &amp; Access Management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Role-based access control (RBAC) implementation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Least-privilege principle enforcement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Multi-factor authentication (MFA) required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Service accounts with minimal permissions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access reviews and certification</w:t>
      </w:r>
    </w:p>
    <w:p>
      <w:pPr>
        <w:pStyle w:val="Heading2"/>
        <w:spacing w:before="240" w:after="120"/>
        <w:ind w:left="0" w:firstLine="0"/>
      </w:pPr>
      <w:r>
        <w:t>7.2 Monitoring &amp; Threat Detection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Real-time security monitoring and alerting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Audit logging for all administrative actions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Anomaly detection and behavioral analysis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integration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reporting dashboards</w:t>
      </w:r>
    </w:p>
    <w:p>
      <w:pPr>
        <w:pStyle w:val="Heading2"/>
        <w:spacing w:before="240" w:after="120"/>
        <w:ind w:left="0" w:firstLine="0"/>
      </w:pPr>
      <w:r>
        <w:t>7.3 Compliance &amp; Governance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Industry standard compliance frameworks (SOC 2, ISO 27001)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classification and protection policies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Encryption for data at-rest and in-transit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Regular security assessments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Policy enforcement automation</w:t>
      </w:r>
    </w:p>
    <w:p>
      <w:pPr>
        <w:pStyle w:val="Heading1"/>
        <w:spacing w:before="160" w:after="120"/>
        <w:ind w:left="0" w:firstLine="0"/>
      </w:pPr>
      <w:r>
        <w:t>8 Testing &amp; Validation</w:t>
      </w:r>
    </w:p>
    <w:p>
      <w:pPr>
        <w:pStyle w:val="Heading2"/>
        <w:spacing w:before="240" w:after="120"/>
        <w:ind w:left="0" w:firstLine="0"/>
      </w:pPr>
      <w:r>
        <w:t>8.1 Testing Strategy</w:t>
      </w:r>
    </w:p>
    <w:p>
      <w:pPr>
        <w:spacing w:after="160"/>
      </w:pPr>
      <w:r>
        <w:rPr>
          <w:rFonts w:ascii="Calibri" w:hAnsi="Calibri"/>
          <w:b/>
          <w:sz w:val="22"/>
        </w:rPr>
        <w:t>Functional Validation: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End-to-end workflow testing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Integration point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User acceptance testing coordination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Data integrity verification</w:t>
      </w:r>
    </w:p>
    <w:p>
      <w:pPr>
        <w:spacing w:after="160"/>
      </w:pPr>
      <w:r>
        <w:rPr>
          <w:rFonts w:ascii="Calibri" w:hAnsi="Calibri"/>
          <w:b/>
          <w:sz w:val="22"/>
        </w:rPr>
        <w:t>Performance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Load testing under expected conditions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Stress testing at 2x capacity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Response time benchmarking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Scalability validation</w:t>
      </w:r>
    </w:p>
    <w:p>
      <w:pPr>
        <w:spacing w:after="160"/>
      </w:pPr>
      <w:r>
        <w:rPr>
          <w:rFonts w:ascii="Calibri" w:hAnsi="Calibri"/>
          <w:b/>
          <w:sz w:val="22"/>
        </w:rPr>
        <w:t>Security Testing: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Vulnerability scanning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Access control validation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Compliance verification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Penetration testing coordination (if required)</w:t>
      </w:r>
    </w:p>
    <w:p>
      <w:pPr>
        <w:pStyle w:val="Heading2"/>
        <w:spacing w:before="240" w:after="120"/>
        <w:ind w:left="0" w:firstLine="0"/>
      </w:pPr>
      <w:r>
        <w:t>8.2 Go-Live Readiness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All functional tests passed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Performance benchmarks achieved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Security validation complete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Documentation finalized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Team training completed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[ ] Stakeholder sign-off obtained</w:t>
      </w:r>
    </w:p>
    <w:p>
      <w:pPr>
        <w:pStyle w:val="Heading1"/>
        <w:spacing w:before="160" w:after="120"/>
        <w:ind w:left="0" w:firstLine="0"/>
      </w:pPr>
      <w:r>
        <w:t>9 Handover &amp; Support</w:t>
      </w:r>
    </w:p>
    <w:p>
      <w:pPr>
        <w:pStyle w:val="Heading2"/>
        <w:spacing w:before="240" w:after="120"/>
        <w:ind w:left="0" w:firstLine="0"/>
      </w:pPr>
      <w:r>
        <w:t>9.1 Knowledge Transfer</w:t>
      </w:r>
    </w:p>
    <w:p>
      <w:pPr>
        <w:spacing w:after="160"/>
      </w:pPr>
      <w:r>
        <w:rPr>
          <w:rFonts w:ascii="Calibri" w:hAnsi="Calibri"/>
          <w:b/>
          <w:sz w:val="22"/>
        </w:rPr>
        <w:t>Training Sessions: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3x live knowledge transfer sessions (recorded)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Operations runbook walkthrough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Monitoring and alerting procedures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Incident response playbooks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Best practices documentation</w:t>
      </w:r>
    </w:p>
    <w:p>
      <w:pPr>
        <w:spacing w:after="160"/>
      </w:pPr>
      <w:r>
        <w:rPr>
          <w:rFonts w:ascii="Calibri" w:hAnsi="Calibri"/>
          <w:b/>
          <w:sz w:val="22"/>
        </w:rPr>
        <w:t>Documentation Package: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As-built architecture documentation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management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Operational runbooks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Troubleshooting guide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Optimization recommendations</w:t>
      </w:r>
    </w:p>
    <w:p>
      <w:pPr>
        <w:pStyle w:val="Heading2"/>
        <w:spacing w:before="240" w:after="120"/>
        <w:ind w:left="0" w:firstLine="0"/>
      </w:pPr>
      <w:r>
        <w:t>9.2 Hypercare Support</w:t>
      </w:r>
    </w:p>
    <w:p>
      <w:pPr>
        <w:spacing w:after="160"/>
      </w:pPr>
      <w:r>
        <w:rPr>
          <w:rFonts w:ascii="Calibri" w:hAnsi="Calibri"/>
          <w:b/>
          <w:sz w:val="22"/>
        </w:rPr>
        <w:t>Duration:</w:t>
      </w:r>
      <w:r>
        <w:rPr>
          <w:rFonts w:ascii="Calibri" w:hAnsi="Calibri"/>
          <w:sz w:val="22"/>
        </w:rPr>
        <w:t xml:space="preserve"> 4 weeks post-go-live</w:t>
      </w:r>
    </w:p>
    <w:p>
      <w:pPr>
        <w:spacing w:after="160"/>
      </w:pPr>
      <w:r>
        <w:rPr>
          <w:rFonts w:ascii="Calibri" w:hAnsi="Calibri"/>
          <w:b/>
          <w:sz w:val="22"/>
        </w:rPr>
        <w:t>Coverage: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Business hours support (8 AM - 6 PM local time)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4-hour response time for critical issues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Daily health check calls (first 2 weeks)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Weekly status meetings</w:t>
      </w:r>
    </w:p>
    <w:p>
      <w:pPr>
        <w:spacing w:after="160"/>
      </w:pPr>
      <w:r>
        <w:rPr>
          <w:rFonts w:ascii="Calibri" w:hAnsi="Calibri"/>
          <w:b/>
          <w:sz w:val="22"/>
        </w:rPr>
        <w:t>Scope: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Issue investigation and resolution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Performance tuning and optimization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Configuration adjustments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Continued knowledge transfer</w:t>
      </w:r>
    </w:p>
    <w:p>
      <w:pPr>
        <w:pStyle w:val="Heading1"/>
        <w:spacing w:before="160" w:after="120"/>
        <w:ind w:left="0" w:firstLine="0"/>
      </w:pPr>
      <w:r>
        <w:t>10 Investment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Cost Category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List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Credits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1 Net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2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Year 3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</w:pPr>
            <w:r>
              <w:rPr>
                <w:rFonts w:ascii="Calibri" w:hAnsi="Calibri"/>
                <w:b/>
                <w:sz w:val="22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Cloud Infrastructure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Professional Services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Software Licenses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Support &amp; Maintenance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2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TOTAL INVESTMENT</w:t>
            </w:r>
          </w:p>
        </w:tc>
        <w:tc>
          <w:tcPr>
            <w:tcW w:type="dxa" w:w="112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217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  <w:tc>
          <w:tcPr>
            <w:tcW w:type="dxa" w:w="1310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2"/>
              </w:rPr>
              <w:t>$0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4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4"/>
        </w:rPr>
        <w:t>5</w:t>
      </w:r>
      <w:r>
        <w:fldChar w:fldCharType="end"/>
      </w:r>
      <w:r>
        <w:rPr>
          <w:rFonts w:ascii="Calibri" w:hAnsi="Calibri"/>
          <w:sz w:val="24"/>
        </w:rPr>
        <w:t>: Investment Summary</w:t>
      </w:r>
    </w:p>
    <w:p>
      <w:pPr>
        <w:pStyle w:val="Heading1"/>
        <w:spacing w:before="160" w:after="120"/>
        <w:ind w:left="0" w:firstLine="0"/>
      </w:pPr>
      <w:r>
        <w:t>11 Terms &amp; Conditions</w:t>
      </w:r>
    </w:p>
    <w:p>
      <w:pPr>
        <w:pStyle w:val="Heading2"/>
        <w:spacing w:before="240" w:after="120"/>
        <w:ind w:left="0" w:firstLine="0"/>
      </w:pPr>
      <w:r>
        <w:t>11.1 General Terms</w:t>
      </w:r>
    </w:p>
    <w:p>
      <w:pPr>
        <w:spacing w:after="160"/>
      </w:pPr>
      <w:r>
        <w:rPr>
          <w:rFonts w:ascii="Calibri" w:hAnsi="Calibri"/>
          <w:sz w:val="22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 w:firstLine="0"/>
      </w:pPr>
      <w:r>
        <w:t>11.2 Scope Changes</w:t>
      </w:r>
    </w:p>
    <w:p>
      <w:pPr>
        <w:spacing w:after="160"/>
      </w:pPr>
      <w:r>
        <w:rPr>
          <w:rFonts w:ascii="Calibri" w:hAnsi="Calibri"/>
          <w:sz w:val="22"/>
        </w:rPr>
        <w:t>Any changes to scope, schedule, or cost require a formal Change Request approved by both parties. Impact assessment will be provided within 5 business days.</w:t>
      </w:r>
    </w:p>
    <w:p>
      <w:pPr>
        <w:pStyle w:val="Heading2"/>
        <w:spacing w:before="240" w:after="120"/>
        <w:ind w:left="0" w:firstLine="0"/>
      </w:pPr>
      <w:r>
        <w:t>11.3 Intellectual Property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retains ownership of all configurations and documentation specific to their environment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Vendor retains proprietary methodologies, tools, and accelerators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Pre-existing IP remains with original owner</w:t>
      </w:r>
    </w:p>
    <w:p>
      <w:pPr>
        <w:pStyle w:val="Heading2"/>
        <w:spacing w:before="240" w:after="120"/>
        <w:ind w:left="0" w:firstLine="0"/>
      </w:pPr>
      <w:r>
        <w:t>11.4 Service Levels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provided per agreed schedule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Hypercare period: 4 weeks with defined response times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Extended support available via managed services contract</w:t>
      </w:r>
    </w:p>
    <w:p>
      <w:pPr>
        <w:pStyle w:val="Heading2"/>
        <w:spacing w:before="240" w:after="120"/>
        <w:ind w:left="0" w:firstLine="0"/>
      </w:pPr>
      <w:r>
        <w:t>11.5 Confidentiality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All exchanged artifacts under NDA protection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Client data handled per security requirements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No disclosure to third parties without consent</w:t>
      </w:r>
    </w:p>
    <w:p>
      <w:pPr>
        <w:pStyle w:val="Heading2"/>
        <w:spacing w:before="240" w:after="120"/>
        <w:ind w:left="0" w:firstLine="0"/>
      </w:pPr>
      <w:r>
        <w:t>11.6 Termination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Either party may terminate with 30 days written notice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Payment due for all completed work</w:t>
      </w:r>
    </w:p>
    <w:p>
      <w:pPr>
        <w:spacing w:after="80"/>
        <w:ind w:left="720" w:hanging="360"/>
      </w:pPr>
      <w:r>
        <w:rPr>
          <w:rFonts w:ascii="Calibri" w:hAnsi="Calibri"/>
          <w:sz w:val="22"/>
        </w:rPr>
        <w:t xml:space="preserve">• </w:t>
      </w:r>
      <w:r>
        <w:rPr>
          <w:rFonts w:ascii="Calibri" w:hAnsi="Calibri"/>
          <w:sz w:val="22"/>
        </w:rPr>
        <w:t>Deliverables transferred upon termination</w:t>
      </w:r>
    </w:p>
    <w:p>
      <w:pPr>
        <w:pStyle w:val="Heading1"/>
        <w:spacing w:before="160" w:after="120"/>
        <w:ind w:left="0" w:firstLine="0"/>
      </w:pPr>
      <w:r>
        <w:t>12 Sign-Off</w:t>
      </w:r>
    </w:p>
    <w:p>
      <w:pPr>
        <w:spacing w:after="240"/>
      </w:pPr>
      <w:r>
        <w:rPr>
          <w:rFonts w:ascii="Calibri" w:hAnsi="Calibri"/>
          <w:sz w:val="22"/>
        </w:rPr>
        <w:t>By signing below, both parties agree to the scope, approach, and terms outlined in this Statement of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CLIENT</w:t>
            </w:r>
          </w:p>
        </w:tc>
        <w:tc>
          <w:tcPr>
            <w:tcW w:type="dxa" w:w="4680"/>
            <w:shd w:fill="E8F0F8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2"/>
              </w:rPr>
              <w:t>CONSULTING COMPANY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Signature: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Name: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Title: ____________________</w:t>
            </w:r>
          </w:p>
        </w:tc>
      </w:tr>
      <w:tr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  <w:tc>
          <w:tcPr>
            <w:tcW w:type="dxa" w:w="4680"/>
            <w:vAlign w:val="bottom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Calibri" w:hAnsi="Calibri"/>
                <w:sz w:val="22"/>
              </w:rPr>
              <w:t>Date: ____________________</w:t>
            </w:r>
          </w:p>
        </w:tc>
      </w:tr>
    </w:tbl>
    <w:p>
      <w:pPr>
        <w:spacing w:after="240"/>
      </w:pPr>
    </w:p>
    <w:p>
      <w:pPr>
        <w:spacing w:after="160"/>
      </w:pPr>
      <w:r>
        <w:rPr>
          <w:rFonts w:ascii="Calibri" w:hAnsi="Calibri"/>
          <w:i/>
          <w:sz w:val="22"/>
        </w:rPr>
        <w:t>This Statement of Work constitutes the complete agreement between the parties for the services described herein.</w:t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3911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391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1F4E78"/>
          <w:sz w:val="24"/>
        </w:rPr>
        <w:t>eoframework.org</w:t>
      </w:r>
    </w:p>
    <w:p/>
    <w:sectPr w:rsidR="00FC693F" w:rsidRPr="0006063C" w:rsidSect="00034616">
      <w:headerReference w:type="default" r:id="rId13"/>
      <w:footerReference w:type="default" r:id="rId14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drawing>
        <wp:inline xmlns:a="http://schemas.openxmlformats.org/drawingml/2006/main" xmlns:pic="http://schemas.openxmlformats.org/drawingml/2006/picture">
          <wp:extent cx="889000" cy="254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9000" cy="254000"/>
                  </a:xfrm>
                  <a:prstGeom prst="rect"/>
                </pic:spPr>
              </pic:pic>
            </a:graphicData>
          </a:graphic>
        </wp:inline>
      </w:drawing>
    </w:r>
    <w:r>
      <w:tab/>
      <w:tab/>
    </w:r>
    <w:r>
      <w:rPr>
        <w:rFonts w:ascii="Calibri" w:hAnsi="Calibri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Calibri" w:hAnsi="Calibri"/>
        <w:color w:val="808080"/>
        <w:sz w:val="24"/>
      </w:rPr>
      <w:t>Statement of Work</w:t>
    </w:r>
    <w:r>
      <w:tab/>
      <w:tab/>
    </w:r>
    <w:r>
      <w:rPr>
        <w:rFonts w:ascii="Calibri" w:hAnsi="Calibri"/>
        <w:color w:val="808080"/>
        <w:sz w:val="24"/>
      </w:rPr>
      <w:t>Azure Sentinel SIEM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6" w:lineRule="auto"/>
      <w:outlineLvl w:val="0"/>
    </w:pPr>
    <w:rPr>
      <w:rFonts w:asciiTheme="majorHAnsi" w:eastAsiaTheme="majorEastAsia" w:hAnsiTheme="majorHAnsi" w:cstheme="majorBidi" w:ascii="Calibri" w:hAnsi="Calibri"/>
      <w:b/>
      <w:bCs/>
      <w:smallCaps w:val="0"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/>
      <w:b/>
      <w:bCs/>
      <w:smallCaps w:val="0"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Calibri" w:hAnsi="Calibri"/>
      <w:b/>
      <w:bCs/>
      <w:i/>
      <w:smallCaps w:val="0"/>
      <w:color w:val="40404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outlineLvl w:val="3"/>
    </w:pPr>
    <w:rPr>
      <w:rFonts w:asciiTheme="majorHAnsi" w:eastAsiaTheme="majorEastAsia" w:hAnsiTheme="majorHAnsi" w:cstheme="majorBidi" w:ascii="Calibri" w:hAnsi="Calibri"/>
      <w:b w:val="0"/>
      <w:bCs/>
      <w:i/>
      <w:iCs/>
      <w:smallCaps w:val="0"/>
      <w:color w:val="5B677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 w:val="0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header" Target="header1.xml"/><Relationship Id="rId14" Type="http://schemas.openxmlformats.org/officeDocument/2006/relationships/footer" Target="footer1.xml"/><Relationship Id="rId15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