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28800" cy="60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Azure Virtual Desktop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Engagement Scope Parameters</w:t>
        <w:tab/>
        <w:t>3</w:t>
        <w:br/>
      </w:r>
      <w:r>
        <w:rPr>
          <w:rFonts w:ascii="Calibri" w:hAnsi="Calibri"/>
          <w:sz w:val="24"/>
        </w:rPr>
        <w:t>Table 2: Project Milestones</w:t>
        <w:tab/>
        <w:t>4</w:t>
        <w:br/>
      </w:r>
      <w:r>
        <w:rPr>
          <w:rFonts w:ascii="Calibri" w:hAnsi="Calibri"/>
          <w:sz w:val="24"/>
        </w:rPr>
        <w:t>Table 3: Project Deliverables and Acceptance Criteria</w:t>
        <w:tab/>
        <w:t>5</w:t>
        <w:br/>
      </w:r>
      <w:r>
        <w:rPr>
          <w:rFonts w:ascii="Calibri" w:hAnsi="Calibri"/>
          <w:sz w:val="24"/>
        </w:rPr>
        <w:t>Table 4: Roles and Responsibilities (RACI Matrix)</w:t>
        <w:tab/>
        <w:t>6</w:t>
        <w:br/>
      </w:r>
      <w:r>
        <w:rPr>
          <w:rFonts w:ascii="Calibri" w:hAnsi="Calibri"/>
          <w:sz w:val="24"/>
        </w:rPr>
        <w:t>Table 5: Investment Summary</w:t>
        <w:tab/>
        <w:t>7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2"/>
        </w:rPr>
        <w:t>Azure Virtual Desktop</w:t>
      </w:r>
      <w:r>
        <w:rPr>
          <w:rFonts w:ascii="Calibri" w:hAnsi="Calibri"/>
          <w:sz w:val="22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pPr>
        <w:spacing w:after="160"/>
      </w:pPr>
      <w:r>
        <w:rPr>
          <w:rFonts w:ascii="Calibri" w:hAnsi="Calibri"/>
          <w:b/>
          <w:sz w:val="22"/>
        </w:rPr>
        <w:t>Project Duration:</w:t>
      </w:r>
      <w:r>
        <w:rPr>
          <w:rFonts w:ascii="Calibri" w:hAnsi="Calibri"/>
          <w:sz w:val="22"/>
        </w:rPr>
        <w:t xml:space="preserve"> 12 weeks (as detailed in Timeline &amp; Milestones section)</w:t>
      </w:r>
    </w:p>
    <w:p>
      <w:pPr>
        <w:spacing w:after="160"/>
      </w:pPr>
      <w:r>
        <w:rPr>
          <w:rFonts w:ascii="Calibri" w:hAnsi="Calibri"/>
          <w:b/>
          <w:sz w:val="22"/>
        </w:rPr>
        <w:t>Key Objectives: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and configure Azure Virtual Desktop according to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existing enterprise systems and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technical staff on operations and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defined success metrics and business outcomes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Business Context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two_column</w:t>
      </w:r>
    </w:p>
    <w:p>
      <w:pPr>
        <w:spacing w:after="160"/>
      </w:pPr>
      <w:r>
        <w:rPr>
          <w:rFonts w:ascii="Calibri" w:hAnsi="Calibri"/>
          <w:b/>
          <w:sz w:val="22"/>
        </w:rPr>
        <w:t>Transforming Workforce Mobility with Azure Virtual Desktop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Opportunity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hybrid and remote workforce without compromising security or performance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infrastructure costs by 30-40% compared to traditional VDI and physical desktops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Modernize desktop management with cloud-based administration and simplified operations</w:t>
      </w:r>
    </w:p>
    <w:p>
      <w:pPr>
        <w:spacing w:after="160"/>
      </w:pPr>
      <w:r>
        <w:rPr>
          <w:rFonts w:ascii="Calibri" w:hAnsi="Calibri"/>
          <w:b/>
          <w:sz w:val="22"/>
        </w:rPr>
        <w:t>Success Criteria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100% user adoption with minimal support calls through intuitive experience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20-30% reduction in IT operational costs through cloud-based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ROI realization within 18-24 months through infrastructure consolidation and labor savings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single</w:t>
      </w:r>
    </w:p>
    <w:p>
      <w:pPr>
        <w:spacing w:after="160"/>
      </w:pPr>
      <w:r>
        <w:rPr>
          <w:rFonts w:ascii="Calibri" w:hAnsi="Calibri"/>
          <w:b/>
          <w:sz w:val="22"/>
        </w:rPr>
        <w:t>Proven Methodology for Azure Virtual Desktop Success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Phase 1: Discovery &amp; Planning (Weeks 1-2)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Assess current environment and user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Design AVD architecture with security and performance considerations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Plan network connectivity and application compatibility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Phase 2: Infrastructure Deployment (Weeks 3-5)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Azure Virtual Network and identity infrastructure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Configure D4s_v5 session hosts with Windows 11 Multi-Session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Set up Azure Files Premium and FSLogix profile containers</w:t>
      </w:r>
    </w:p>
    <w:p>
      <w:pPr>
        <w:spacing w:after="160"/>
      </w:pPr>
      <w:r>
        <w:rPr>
          <w:rFonts w:ascii="Calibri" w:hAnsi="Calibri"/>
          <w:b/>
          <w:sz w:val="22"/>
        </w:rPr>
        <w:t>Phase 3: Application Deployment, Migration &amp; Hypercare (Weeks 6-10)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Microsoft 365 and critical business applications with UAT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Migrate users in waves to new AVD environment with application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Provide 30-day hypercare support and transition to operations team</w:t>
      </w:r>
    </w:p>
    <w:p>
      <w:pPr>
        <w:pStyle w:val="Heading3"/>
        <w:spacing w:before="160" w:after="120"/>
        <w:ind w:left="0" w:firstLine="0"/>
      </w:pPr>
      <w:r>
        <w:t>3.1.1 Scope Parameters</w:t>
      </w:r>
    </w:p>
    <w:p>
      <w:pPr>
        <w:spacing w:after="120"/>
      </w:pPr>
      <w:r>
        <w:rPr>
          <w:rFonts w:ascii="Calibri" w:hAnsi="Calibri"/>
          <w:sz w:val="22"/>
        </w:rPr>
        <w:t>This engagement is sized based on the following parameters:</w:t>
      </w:r>
    </w:p>
    <w:p>
      <w:pPr>
        <w:spacing w:after="160"/>
      </w:pPr>
      <w:r>
        <w:rPr>
          <w:rFonts w:ascii="Calibri" w:hAnsi="Calibri"/>
          <w:i/>
          <w:sz w:val="22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 w:firstLine="0"/>
      </w:pPr>
      <w:r>
        <w:t>3.2 Out of Scope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development beyond standard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application licensing (unless specified)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Hardware procurement or disposal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End-user training (technical team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post-hypercare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p>
      <w:pPr>
        <w:pStyle w:val="Heading2"/>
        <w:spacing w:before="240" w:after="120"/>
        <w:ind w:left="0" w:firstLine="0"/>
      </w:pPr>
      <w:r>
        <w:t>4.1 Project Milestones</w:t>
      </w:r>
    </w:p>
    <w:p>
      <w:pPr>
        <w:spacing w:after="120"/>
      </w:pPr>
      <w:r>
        <w:rPr>
          <w:rFonts w:ascii="Calibri" w:hAnsi="Calibri"/>
          <w:sz w:val="22"/>
        </w:rPr>
        <w:t>**layout:** table</w:t>
      </w:r>
    </w:p>
    <w:p>
      <w:pPr>
        <w:spacing w:after="120"/>
      </w:pPr>
      <w:r>
        <w:rPr>
          <w:rFonts w:ascii="Calibri" w:hAnsi="Calibri"/>
          <w:sz w:val="22"/>
        </w:rPr>
        <w:t>**Path to Modern Workplace Delivery**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No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Description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Timeline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Key Deliverables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1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Discovery &amp; Planning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1-2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Requirements validated, Architecture designed, Project plan approved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Deployment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3-5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networking live, Session hosts operational, FSLogix configured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3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Application Deployment, Migration &amp; Hypercare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6-10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Applications deployed, Users migrated in waves, 30-day hypercare support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Project Milestones</w:t>
      </w:r>
    </w:p>
    <w:p>
      <w:pPr>
        <w:pStyle w:val="Heading2"/>
        <w:spacing w:before="240" w:after="120"/>
        <w:ind w:left="0" w:firstLine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 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Runbook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 Results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p>
      <w:pPr>
        <w:pStyle w:val="Heading2"/>
        <w:spacing w:before="240" w:after="120"/>
        <w:ind w:left="0" w:firstLine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b/>
          <w:sz w:val="22"/>
        </w:rPr>
        <w:t>Legend:</w:t>
      </w:r>
      <w:r>
        <w:rPr>
          <w:rFonts w:ascii="Calibri" w:hAnsi="Calibri"/>
          <w:sz w:val="22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 w:firstLine="0"/>
      </w:pPr>
      <w:r>
        <w:t>5.2 Key Personnel</w:t>
      </w:r>
    </w:p>
    <w:p>
      <w:pPr>
        <w:spacing w:after="160"/>
      </w:pPr>
      <w:r>
        <w:rPr>
          <w:rFonts w:ascii="Calibri" w:hAnsi="Calibri"/>
          <w:b/>
          <w:sz w:val="22"/>
        </w:rPr>
        <w:t>Vendor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Project Manager: Overall delivery accountability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Architect: Technical design and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Engineers: Implementation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Support Specialist: Training and hypercare</w:t>
      </w:r>
    </w:p>
    <w:p>
      <w:pPr>
        <w:spacing w:after="160"/>
      </w:pPr>
      <w:r>
        <w:rPr>
          <w:rFonts w:ascii="Calibri" w:hAnsi="Calibri"/>
          <w:b/>
          <w:sz w:val="22"/>
        </w:rPr>
        <w:t>Client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Lead: Primary technical contact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Sponsor: Executive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Team: Knowledge transfer recipients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Subject Matter Experts: Requirements validation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Solution Architecture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visual</w:t>
      </w:r>
    </w:p>
    <w:p>
      <w:pPr>
        <w:spacing w:after="160"/>
      </w:pPr>
      <w:r>
        <w:rPr>
          <w:rFonts w:ascii="Calibri" w:hAnsi="Calibri"/>
          <w:b/>
          <w:sz w:val="22"/>
        </w:rPr>
        <w:t>Secure, Scalable Azure Virtual Desktop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299335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9933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Architecture Diagram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AVD Core Components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Windows 11 Multi-Session VMs with 20 session hosts supporting 100 concurrent users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AD integration for unified identity and conditional access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FSLogix user profile containers for seamless profile roaming and application persistence</w:t>
      </w:r>
    </w:p>
    <w:p>
      <w:pPr>
        <w:spacing w:after="160"/>
      </w:pPr>
      <w:r>
        <w:rPr>
          <w:rFonts w:ascii="Calibri" w:hAnsi="Calibri"/>
          <w:b/>
          <w:sz w:val="22"/>
        </w:rPr>
        <w:t>Platform Architecture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Virtual Network with hub-spoke topology for connectivity and security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Files Premium storage for FSLogix containers and user data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with Log Analytics for comprehensive diagnostics and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Intune device management for BYOD and corporate device support</w:t>
      </w:r>
    </w:p>
    <w:p>
      <w:pPr>
        <w:pStyle w:val="Heading2"/>
        <w:spacing w:before="240" w:after="120"/>
        <w:ind w:left="0" w:firstLine="0"/>
      </w:pPr>
      <w:r>
        <w:t>6.2 Technical Implementation</w:t>
      </w:r>
    </w:p>
    <w:p>
      <w:pPr>
        <w:spacing w:after="160"/>
      </w:pPr>
      <w:r>
        <w:rPr>
          <w:rFonts w:ascii="Calibri" w:hAnsi="Calibri"/>
          <w:sz w:val="22"/>
        </w:rPr>
        <w:t>The implementation will follow industry best practices with: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as Code for repeatable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for consistency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testing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Comprehensive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Security-first design principles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Least-privilege principle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accounts with minimal permissions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certification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Real-time security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for all administrative actions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Anomaly detection and behavioral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reporting dashboards</w:t>
      </w:r>
    </w:p>
    <w:p>
      <w:pPr>
        <w:pStyle w:val="Heading2"/>
        <w:spacing w:before="240" w:after="120"/>
        <w:ind w:left="0" w:firstLine="0"/>
      </w:pPr>
      <w:r>
        <w:t>7.3 Compliance &amp;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Industry standard compliance frameworks (SOC 2, ISO 27001)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and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for data at-rest and in-transit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security assessments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enforcement automation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pStyle w:val="Heading2"/>
        <w:spacing w:before="240" w:after="120"/>
        <w:ind w:left="0" w:firstLine="0"/>
      </w:pPr>
      <w:r>
        <w:t>8.1 Testing Strategy</w:t>
      </w:r>
    </w:p>
    <w:p>
      <w:pPr>
        <w:spacing w:after="160"/>
      </w:pPr>
      <w:r>
        <w:rPr>
          <w:rFonts w:ascii="Calibri" w:hAnsi="Calibri"/>
          <w:b/>
          <w:sz w:val="22"/>
        </w:rPr>
        <w:t>Functional Validation: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End-to-end workflow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point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 acceptance testing coordination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integrity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Performance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Load testing under expected conditions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Stress testing at 2x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Response time benchmarking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Scalability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Security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verification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Penetration testing coordination (if required)</w:t>
      </w:r>
    </w:p>
    <w:p>
      <w:pPr>
        <w:pStyle w:val="Heading2"/>
        <w:spacing w:before="240" w:after="120"/>
        <w:ind w:left="0" w:firstLine="0"/>
      </w:pPr>
      <w:r>
        <w:t>8.2 Go-Live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All functional tests passed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Performance benchmarks achieved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Security validation complete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Documentation finalized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Team training completed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Stakeholder sign-off obtained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Knowledge Transfer</w:t>
      </w:r>
    </w:p>
    <w:p>
      <w:pPr>
        <w:spacing w:after="160"/>
      </w:pPr>
      <w:r>
        <w:rPr>
          <w:rFonts w:ascii="Calibri" w:hAnsi="Calibri"/>
          <w:b/>
          <w:sz w:val="22"/>
        </w:rPr>
        <w:t>Training Sessions: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3x live knowledge transfer sessions (recorded)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runbook walkthrough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and alerting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Best practices documentation</w:t>
      </w:r>
    </w:p>
    <w:p>
      <w:pPr>
        <w:spacing w:after="160"/>
      </w:pPr>
      <w:r>
        <w:rPr>
          <w:rFonts w:ascii="Calibri" w:hAnsi="Calibri"/>
          <w:b/>
          <w:sz w:val="22"/>
        </w:rPr>
        <w:t>Documentation Package: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architecture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Troubleshooting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pStyle w:val="Heading2"/>
        <w:spacing w:before="240" w:after="120"/>
        <w:ind w:left="0" w:firstLine="0"/>
      </w:pPr>
      <w:r>
        <w:t>9.2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Duration:</w:t>
      </w:r>
      <w:r>
        <w:rPr>
          <w:rFonts w:ascii="Calibri" w:hAnsi="Calibri"/>
          <w:sz w:val="22"/>
        </w:rPr>
        <w:t xml:space="preserve"> 4 weeks post-go-live</w:t>
      </w:r>
    </w:p>
    <w:p>
      <w:pPr>
        <w:spacing w:after="160"/>
      </w:pPr>
      <w:r>
        <w:rPr>
          <w:rFonts w:ascii="Calibri" w:hAnsi="Calibri"/>
          <w:b/>
          <w:sz w:val="22"/>
        </w:rPr>
        <w:t>Coverage: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hours support (8 AM - 6 PM local time)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4-hour response time for critical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Daily health check calls (first 2 weeks)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Weekly status meetings</w:t>
      </w:r>
    </w:p>
    <w:p>
      <w:pPr>
        <w:spacing w:after="160"/>
      </w:pPr>
      <w:r>
        <w:rPr>
          <w:rFonts w:ascii="Calibri" w:hAnsi="Calibri"/>
          <w:b/>
          <w:sz w:val="22"/>
        </w:rPr>
        <w:t>Scope: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investigation and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tuning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adjustments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Continued knowledge transfer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5</w:t>
      </w:r>
      <w:r>
        <w:fldChar w:fldCharType="end"/>
      </w:r>
      <w:r>
        <w:rPr>
          <w:rFonts w:ascii="Calibri" w:hAnsi="Calibri"/>
          <w:sz w:val="24"/>
        </w:rPr>
        <w:t>: Investment Summary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pStyle w:val="Heading2"/>
        <w:spacing w:before="240" w:after="120"/>
        <w:ind w:left="0" w:firstLine="0"/>
      </w:pPr>
      <w:r>
        <w:t>11.1 General Terms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 w:firstLine="0"/>
      </w:pPr>
      <w:r>
        <w:t>11.2 Scope Changes</w:t>
      </w:r>
    </w:p>
    <w:p>
      <w:pPr>
        <w:spacing w:after="160"/>
      </w:pPr>
      <w:r>
        <w:rPr>
          <w:rFonts w:ascii="Calibri" w:hAnsi="Calibri"/>
          <w:sz w:val="22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 w:firstLine="0"/>
      </w:pPr>
      <w:r>
        <w:t>11.3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configurations and documentation specific to their environment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proprietary methodologies, tools, and accelerators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Pre-existing IP remains with original owner</w:t>
      </w:r>
    </w:p>
    <w:p>
      <w:pPr>
        <w:pStyle w:val="Heading2"/>
        <w:spacing w:before="240" w:after="120"/>
        <w:ind w:left="0" w:firstLine="0"/>
      </w:pPr>
      <w:r>
        <w:t>11.4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provided per agreed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period: 4 weeks with defined response times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Extended support available via managed services contract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data handled per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No disclosure to third parties without consent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Either party may terminate with 30 days written notice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Payment due for all completed work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transferred upon termination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Azure Virtual Desktop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