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Azure Virtual Desktop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4"/>
        </w:rPr>
        <w:t>Azure Virtual Desktop</w:t>
      </w:r>
      <w:r>
        <w:rPr>
          <w:rFonts w:ascii="Calibri" w:hAnsi="Calibri"/>
          <w:sz w:val="24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12 weeks (as detailed in Timeline &amp; Milestones section)</w:t>
      </w:r>
    </w:p>
    <w:p>
      <w:r>
        <w:rPr>
          <w:rFonts w:ascii="Calibri" w:hAnsi="Calibri"/>
          <w:b/>
          <w:sz w:val="24"/>
        </w:rPr>
        <w:t>Key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and configure Azure Virtual Desktop according to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 with existing enterprise systems and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 technical staff on operations and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Achieve defined success metrics and business outcomes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Business Context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two_column</w:t>
      </w:r>
    </w:p>
    <w:p>
      <w:r>
        <w:rPr>
          <w:rFonts w:ascii="Calibri" w:hAnsi="Calibri"/>
          <w:b/>
          <w:sz w:val="24"/>
        </w:rPr>
        <w:t>Transforming Workforce Mobility with Azure Virtual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Opportunity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hybrid and remote workforce without compromising security or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Reduce infrastructure costs by 30-40% compared to traditional VDI and physical desktops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Modernize desktop management with cloud-based administration and simplified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Success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user adoption with minimal support calls through intuitive experience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20-30% reduction in IT operational costs through cloud-based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18-24 months through infrastructure consolidation and labor savings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single</w:t>
      </w:r>
    </w:p>
    <w:p>
      <w:r>
        <w:rPr>
          <w:rFonts w:ascii="Calibri" w:hAnsi="Calibri"/>
          <w:b/>
          <w:sz w:val="24"/>
        </w:rPr>
        <w:t>Proven Methodology for Azure Virtual Desktop Success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1: Discovery &amp; Planning (Weeks 1-2)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Assess current environment and user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Design AVD architecture with security and performance considerations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network connectivity and application compatibility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2: Infrastructure Deployment (Weeks 3-5)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Azure Virtual Network and identity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D4s_v5 session hosts with Windows 11 Multi-Session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Set up Azure Files Premium and FSLogix profile containers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Phase 3: Application Deployment, Migration &amp; Hypercare (Weeks 6-10)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Microsoft 365 and critical business applications with UAT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users in waves to new AVD environment with application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30-day hypercare support and transition to operations team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development beyond standard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application licensing (unless specified)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or disposal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(technical team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post-hypercare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Project Milestones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table</w:t>
      </w:r>
    </w:p>
    <w:p>
      <w:r>
        <w:rPr>
          <w:rFonts w:ascii="Calibri" w:hAnsi="Calibri"/>
          <w:b/>
          <w:sz w:val="24"/>
        </w:rPr>
        <w:t>Path to Modern Workplace Delivery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No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 Description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Timeline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Deliverables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Planning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Requirements validated, Architecture designed, Project plan approved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Deployment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3-5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networking live, Session hosts operational, FSLogix configured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Deployment, Migration &amp; Hypercare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6-10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Applications deployed, Users migrated in waves, 30-day hypercare support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Deliverables And Timeline</w:t>
      </w:r>
    </w:p>
    <w:p>
      <w:pPr>
        <w:pStyle w:val="Heading2"/>
        <w:spacing w:before="240" w:after="120"/>
        <w:ind w:left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Runbook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 Results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Task/Deliverable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Mgmt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Architecture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Setup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&amp; Tuning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Development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31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Architect: Technical design and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Engineers: Implementation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Specialist: Training and hypercare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Lead: Primary technical contact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Sponsor: Executive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Team: Knowledge transfer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Subject Matter Experts: Requirements validation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b/>
          <w:sz w:val="24"/>
        </w:rPr>
        <w:t>layout:</w:t>
      </w:r>
      <w:r>
        <w:rPr>
          <w:rFonts w:ascii="Calibri" w:hAnsi="Calibri"/>
          <w:sz w:val="24"/>
        </w:rPr>
        <w:t xml:space="preserve"> visual</w:t>
      </w:r>
    </w:p>
    <w:p>
      <w:r>
        <w:rPr>
          <w:rFonts w:ascii="Calibri" w:hAnsi="Calibri"/>
          <w:b/>
          <w:sz w:val="24"/>
        </w:rPr>
        <w:t>Secure, Scalable Azure Virtual Desktop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99335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9933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AVD Core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Windows 11 Multi-Session VMs with 20 session hosts supporting 100 concurrent users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integration for unified identity and conditional access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FSLogix user profile containers for seamless profile roaming and application persistence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Platform 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Network with hub-spoke topology for connectivity and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Files Premium storage for FSLogix containers and user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with Log Analytics for comprehensive diagnostics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Intune device management for BYOD and corporate device support</w:t>
      </w:r>
    </w:p>
    <w:p>
      <w:pPr>
        <w:pStyle w:val="Heading2"/>
        <w:spacing w:before="240" w:after="120"/>
        <w:ind w:left="0"/>
      </w:pPr>
      <w:r>
        <w:t>6.2 Technical Implementation</w:t>
      </w:r>
    </w:p>
    <w:p>
      <w:r>
        <w:rPr>
          <w:rFonts w:ascii="Calibri" w:hAnsi="Calibri"/>
          <w:sz w:val="24"/>
        </w:rPr>
        <w:t>The implementation will follow industry best practices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for repeatable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for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Security-first design principles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Least-privilege principle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accounts with minimal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certification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Real-time security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Anomaly detection and behavioral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dashboards</w:t>
      </w:r>
    </w:p>
    <w:p>
      <w:pPr>
        <w:pStyle w:val="Heading2"/>
        <w:spacing w:before="240" w:after="120"/>
        <w:ind w:left="0"/>
      </w:pPr>
      <w:r>
        <w:t>7.3 Compliance &amp;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Industry standard compliance frameworks (SOC 2, ISO 27001)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and protection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for data at-rest and in-transit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security assessments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enforcement automation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Testing Strategy</w:t>
      </w:r>
    </w:p>
    <w:p>
      <w:r>
        <w:rPr>
          <w:rFonts w:ascii="Calibri" w:hAnsi="Calibri"/>
          <w:b/>
          <w:sz w:val="24"/>
        </w:rPr>
        <w:t>Functional Validation: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workflow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point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acceptance testing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verification</w:t>
      </w:r>
    </w:p>
    <w:p>
      <w:r>
        <w:rPr>
          <w:rFonts w:ascii="Calibri" w:hAnsi="Calibri"/>
          <w:b/>
          <w:sz w:val="24"/>
        </w:rPr>
        <w:t>Performance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testing under expected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Stress testing at 2x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 time benchmarking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Scalability validation</w:t>
      </w:r>
    </w:p>
    <w:p>
      <w:r>
        <w:rPr>
          <w:rFonts w:ascii="Calibri" w:hAnsi="Calibri"/>
          <w:b/>
          <w:sz w:val="24"/>
        </w:rPr>
        <w:t>Security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verification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Penetration testing coordination (if required)</w:t>
      </w:r>
    </w:p>
    <w:p>
      <w:pPr>
        <w:pStyle w:val="Heading2"/>
        <w:spacing w:before="240" w:after="120"/>
        <w:ind w:left="0"/>
      </w:pPr>
      <w:r>
        <w:t>8.2 Go-Live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benchmarks achieved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finalized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Team training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sign-off obtained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3x live knowledge transfer sessions (recorded)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 walkthrough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Best practices documentation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Optimization recommendations</w:t>
      </w:r>
    </w:p>
    <w:p>
      <w:pPr>
        <w:pStyle w:val="Heading2"/>
        <w:spacing w:before="240" w:after="120"/>
        <w:ind w:left="0"/>
      </w:pPr>
      <w:r>
        <w:t>9.2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 calls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adjustments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Continued knowledge transfer</w:t>
      </w:r>
    </w:p>
    <w:p>
      <w:pPr>
        <w:pStyle w:val="Heading1"/>
        <w:spacing w:before="160" w:after="120"/>
        <w:ind w:left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$78,400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($10,000)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$68,400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$68,400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$39,600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$118,800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$24,000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$72,000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$5,184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$15,552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$147,184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($10,000)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$137,184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$68,784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$68,784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$274,752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configurations and documentation specific to their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methodologies, tools, and accelerators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provided per agreed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period: 4 weeks with defined response times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Extended support available via managed services contract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Either party may terminate with 30 days written notice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Payment due for all completed 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Deliverables transferred upon termination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Azure Virtual Desktop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