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37F3E" w14:textId="77777777" w:rsidR="00517E5A" w:rsidRDefault="00517E5A"/>
    <w:p w14:paraId="68651562" w14:textId="77777777" w:rsidR="00517E5A" w:rsidRDefault="00517E5A"/>
    <w:p w14:paraId="08F242B9" w14:textId="77777777" w:rsidR="00517E5A" w:rsidRDefault="00517E5A"/>
    <w:p w14:paraId="50F658D2" w14:textId="77777777" w:rsidR="00517E5A" w:rsidRDefault="00000000">
      <w:pPr>
        <w:jc w:val="center"/>
      </w:pPr>
      <w:r>
        <w:rPr>
          <w:noProof/>
        </w:rPr>
        <w:drawing>
          <wp:inline distT="0" distB="0" distL="0" distR="0" wp14:anchorId="7E06817B" wp14:editId="5AA24B6F">
            <wp:extent cx="3657600" cy="10450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04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A512D" w14:textId="77777777" w:rsidR="00517E5A" w:rsidRDefault="00517E5A"/>
    <w:p w14:paraId="27C8D981" w14:textId="1774A57B" w:rsidR="00517E5A" w:rsidRDefault="002B4224">
      <w:pPr>
        <w:pStyle w:val="Title"/>
        <w:jc w:val="center"/>
      </w:pPr>
      <w:r>
        <w:t>Detailed Design Document</w:t>
      </w:r>
      <w:r w:rsidR="005B0B47"/>
      <w:r/>
    </w:p>
    <w:p w14:paraId="5F4CFF81" w14:textId="77777777" w:rsidR="00517E5A" w:rsidRDefault="00000000">
      <w:pPr>
        <w:jc w:val="center"/>
      </w:pPr>
      <w:r>
        <w:rPr>
          <w:b/>
          <w:color w:val="5B6770"/>
          <w:sz w:val="40"/>
        </w:rPr>
        <w:t>Microsoft 365 Enterprise Deployment</w:t>
      </w:r>
    </w:p>
    <w:p w14:paraId="27F2E94E" w14:textId="77777777" w:rsidR="00517E5A" w:rsidRDefault="00517E5A"/>
    <w:p w14:paraId="2CED2F54" w14:textId="77777777" w:rsidR="00517E5A" w:rsidRDefault="00517E5A"/>
    <w:tbl>
      <w:tblPr>
        <w:tblW w:w="0" w:type="auto"/>
        <w:tblLook w:val="04A0" w:firstRow="1" w:lastRow="0" w:firstColumn="1" w:lastColumn="0" w:noHBand="0" w:noVBand="1"/>
      </w:tblPr>
      <w:tblGrid>
        <w:gridCol w:w="2831"/>
        <w:gridCol w:w="5969"/>
      </w:tblGrid>
      <w:tr w:rsidR="00517E5A" w14:paraId="0859EFE3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3D62C3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Client: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[CLIENT]</w:t>
            </w:r>
          </w:p>
        </w:tc>
      </w:tr>
      <w:tr w:rsidR="00517E5A" w14:paraId="19DBB3F4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549C2C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27, 2025</w:t>
            </w:r>
          </w:p>
        </w:tc>
      </w:tr>
      <w:tr w:rsidR="00517E5A" w14:paraId="2757AE9A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348F2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517E5A" w14:paraId="75B0F37D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D20D4E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[Name | Email | Phone]</w:t>
            </w:r>
          </w:p>
        </w:tc>
      </w:tr>
      <w:tr w:rsidR="00517E5A" w14:paraId="2AF64A28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79F9B3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OPP-XXXXX</w:t>
            </w:r>
          </w:p>
        </w:tc>
      </w:tr>
      <w:tr w:rsidR="00517E5A" w14:paraId="07DB0AC9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87A88A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Version: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1.0</w:t>
            </w:r>
          </w:p>
        </w:tc>
      </w:tr>
    </w:tbl>
    <w:p w14:paraId="793983A1" w14:textId="77777777" w:rsidR="00517E5A" w:rsidRDefault="00000000">
      <w:pPr>
        <w:jc w:val="center"/>
      </w:pPr>
      <w:r>
        <w:t xml:space="preserve"> </w:t>
      </w:r>
    </w:p>
    <w:p w14:paraId="2E7BB210" w14:textId="77777777" w:rsidR="00517E5A" w:rsidRDefault="00000000">
      <w:r>
        <w:br w:type="page"/>
      </w:r>
    </w:p>
    <w:p w14:paraId="5A6AE0CF" w14:textId="77777777" w:rsidR="00517E5A" w:rsidRDefault="00517E5A"/>
    <w:p w14:paraId="513F4C99" w14:textId="77777777" w:rsidR="00517E5A" w:rsidRDefault="00000000">
      <w:pPr>
        <w:pStyle w:val="Heading1"/>
      </w:pPr>
      <w:r>
        <w:t>Table of Contents</w:t>
      </w:r>
    </w:p>
    <w:p w14:paraId="04464BF0" w14:textId="77777777" w:rsidR="00517E5A" w:rsidRDefault="00000000">
      <w:pPr>
        <w:spacing w:before="60" w:after="60"/>
      </w:pPr>
      <w:r>
        <w:fldChar w:fldCharType="begin"/>
      </w:r>
      <w:r>
        <w:instrText>TOC \o "1-3" \h \z \u</w:instrText>
      </w:r>
      <w:r>
        <w:fldChar w:fldCharType="separate"/>
      </w:r>
      <w:r>
        <w:t>1 Introduction</w:t>
      </w:r>
      <w:r>
        <w:br/>
        <w:t xml:space="preserve">    1.1 Purpose</w:t>
      </w:r>
      <w:r>
        <w:br/>
        <w:t xml:space="preserve">        1.1.1 Scope</w:t>
      </w:r>
      <w:r>
        <w:br/>
        <w:t>2 Table Content</w:t>
      </w:r>
      <w:r>
        <w:br/>
        <w:t>3 Image Section</w:t>
      </w:r>
      <w:r>
        <w:br/>
        <w:t>4 Additional Content</w:t>
      </w:r>
      <w:r>
        <w:br/>
        <w:t>5 Sign-Off</w:t>
      </w:r>
      <w:r>
        <w:fldChar w:fldCharType="end"/>
      </w:r>
    </w:p>
    <w:p w14:paraId="17DBFB80" w14:textId="77777777" w:rsidR="00517E5A" w:rsidRDefault="00000000">
      <w:r>
        <w:br w:type="page"/>
      </w:r>
    </w:p>
    <w:p w14:paraId="6D4C11A6" w14:textId="77777777" w:rsidR="00517E5A" w:rsidRDefault="00517E5A"/>
    <w:p w14:paraId="1A4DF755" w14:textId="77777777" w:rsidR="00517E5A" w:rsidRDefault="00000000">
      <w:pPr>
        <w:pStyle w:val="Heading1"/>
      </w:pPr>
      <w:r>
        <w:t>List of Figures</w:t>
      </w:r>
    </w:p>
    <w:p w14:paraId="39AC922E" w14:textId="77777777" w:rsidR="00517E5A" w:rsidRDefault="00000000">
      <w:pPr>
        <w:spacing w:before="60" w:after="60" w:line="240" w:lineRule="auto"/>
      </w:pPr>
      <w:r>
        <w:fldChar w:fldCharType="begin"/>
      </w:r>
      <w:r>
        <w:instrText>TOC \h \z \c "Figure"</w:instrText>
      </w:r>
      <w:r>
        <w:fldChar w:fldCharType="separate"/>
      </w:r>
      <w:r>
        <w:t>Figure 1: Sample Architecture Diagram</w:t>
      </w:r>
      <w:r>
        <w:fldChar w:fldCharType="end"/>
      </w:r>
    </w:p>
    <w:p w14:paraId="7C0FEECF" w14:textId="77777777" w:rsidR="00517E5A" w:rsidRDefault="00000000">
      <w:pPr>
        <w:pStyle w:val="Heading1"/>
      </w:pPr>
      <w:r>
        <w:t>List of Tables</w:t>
      </w:r>
    </w:p>
    <w:p w14:paraId="3D5E0F34" w14:textId="77777777" w:rsidR="00517E5A" w:rsidRDefault="00000000">
      <w:pPr>
        <w:spacing w:before="60" w:after="60" w:line="240" w:lineRule="auto"/>
      </w:pPr>
      <w:r>
        <w:fldChar w:fldCharType="begin"/>
      </w:r>
      <w:r>
        <w:instrText>TOC \h \z \c "Table"</w:instrText>
      </w:r>
      <w:r>
        <w:fldChar w:fldCharType="separate"/>
      </w:r>
      <w:r>
        <w:t>Table 1: Sample Deliverables Table</w:t>
      </w:r>
      <w:r>
        <w:fldChar w:fldCharType="end"/>
      </w:r>
    </w:p>
    <w:p w14:paraId="5C7A15DB" w14:textId="77777777" w:rsidR="00517E5A" w:rsidRDefault="00000000">
      <w:r>
        <w:br w:type="page"/>
      </w:r>
    </w:p>
    <w:p>
      <w:pPr>
        <w:pStyle w:val="Heading1"/>
        <w:spacing w:before="160" w:after="120"/>
        <w:ind w:left="0"/>
      </w:pPr>
      <w:r>
        <w:t>1 Executive Summary</w:t>
      </w:r>
    </w:p>
    <w:p>
      <w:r>
        <w:rPr>
          <w:rFonts w:ascii="Calibri" w:hAnsi="Calibri"/>
          <w:sz w:val="24"/>
        </w:rPr>
        <w:t>This document provides the comprehensive technical design for the Microsoft 365 Enterprise Deployment. It covers the target-state architecture for Exchange Online, SharePoint Online, Microsoft Teams, OneDrive for Business, security and compliance controls, and enterprise telephony for 500 users.</w:t>
      </w:r>
    </w:p>
    <w:p>
      <w:pPr>
        <w:pStyle w:val="Heading2"/>
        <w:spacing w:before="240" w:after="120"/>
        <w:ind w:left="0"/>
      </w:pPr>
      <w:r>
        <w:t>1.1 Purpose</w:t>
      </w:r>
    </w:p>
    <w:p>
      <w:r>
        <w:rPr>
          <w:rFonts w:ascii="Calibri" w:hAnsi="Calibri"/>
          <w:sz w:val="24"/>
        </w:rPr>
        <w:t>Define the technical architecture and design specifications that will guide the implementation team through M365 tenant configuration, email/file migration, Teams deployment, and security hardening for the modern workplace transformation.</w:t>
      </w:r>
    </w:p>
    <w:p>
      <w:pPr>
        <w:pStyle w:val="Heading2"/>
        <w:spacing w:before="240" w:after="120"/>
        <w:ind w:left="0"/>
      </w:pPr>
      <w:r>
        <w:t>1.2 Scope</w:t>
      </w:r>
    </w:p>
    <w:p>
      <w:r>
        <w:rPr>
          <w:rFonts w:ascii="Calibri" w:hAnsi="Calibri"/>
          <w:b/>
          <w:sz w:val="24"/>
        </w:rPr>
        <w:t>In-scope: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Microsoft 365 E5 tenant provisioning and configuration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AD Connect for hybrid identity synchronization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Exchange Online migration from on-premises Exchange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SharePoint Online and OneDrive for Business deployment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Microsoft Teams with Phone System (150 users) and Audio Conferencing (200 users)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Conditional Access, MFA, and zero-trust security policies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Defender for Office 365 and Microsoft Purview deployment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Intune MDM for 500 endpoints</w:t>
      </w:r>
    </w:p>
    <w:p>
      <w:r>
        <w:rPr>
          <w:rFonts w:ascii="Calibri" w:hAnsi="Calibri"/>
          <w:b/>
          <w:sz w:val="24"/>
        </w:rPr>
        <w:t>Out-of-scope: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Third-party software licensing beyond M365 E5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infrastructure modifications (ExpressRoute managed separately)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Hardware procurement or device replacement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Custom SharePoint development (Power Apps, workflows)</w:t>
      </w:r>
    </w:p>
    <w:p>
      <w:pPr>
        <w:pStyle w:val="Heading2"/>
        <w:spacing w:before="240" w:after="120"/>
        <w:ind w:left="0"/>
      </w:pPr>
      <w:r>
        <w:t>1.3 Assumptions &amp; Constraints</w:t>
      </w:r>
    </w:p>
    <w:p>
      <w:r>
        <w:rPr>
          <w:rFonts w:ascii="Calibri" w:hAnsi="Calibri"/>
          <w:sz w:val="24"/>
        </w:rPr>
        <w:t>The following assumptions underpin the design and must be validated during implementation.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Client has on-premises Exchange Server 2010/2013/2016 with accessible mailboxes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All 500 users exist in on-premises Active Directory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bandwidth sufficient for M365 traffic (minimum 100 Mbps)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Microsoft 365 E5 licenses available for all 500 users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Windows 10/11 devices capable of running M365 apps</w:t>
      </w:r>
    </w:p>
    <w:p>
      <w:pPr>
        <w:pStyle w:val="Heading2"/>
        <w:spacing w:before="240" w:after="120"/>
        <w:ind w:left="0"/>
      </w:pPr>
      <w:r>
        <w:t>1.4 References</w:t>
      </w:r>
    </w:p>
    <w:p>
      <w:r>
        <w:rPr>
          <w:rFonts w:ascii="Calibri" w:hAnsi="Calibri"/>
          <w:sz w:val="24"/>
        </w:rPr>
        <w:t>This document should be read in conjunction with the following related materials.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Statement of Work (SOW) - Microsoft 365 Enterprise Deployment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Microsoft 365 E5 Service Description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AD Connect Documentation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Exchange Online Migration Best Practices</w:t>
      </w:r>
    </w:p>
    <w:p>
      <w:pPr>
        <w:pStyle w:val="Heading1"/>
        <w:spacing w:before="160" w:after="120"/>
        <w:ind w:left="0"/>
      </w:pPr>
      <w:r>
        <w:t>2 Business Context</w:t>
      </w:r>
    </w:p>
    <w:p>
      <w:r>
        <w:rPr>
          <w:rFonts w:ascii="Calibri" w:hAnsi="Calibri"/>
          <w:sz w:val="24"/>
        </w:rPr>
        <w:t>This section establishes the business drivers, success criteria, and requirements that shape the technical design decisions.</w:t>
      </w:r>
    </w:p>
    <w:p>
      <w:pPr>
        <w:pStyle w:val="Heading2"/>
        <w:spacing w:before="240" w:after="120"/>
        <w:ind w:left="0"/>
      </w:pPr>
      <w:r>
        <w:t>2.1 Business Drivers</w:t>
      </w:r>
    </w:p>
    <w:p>
      <w:r>
        <w:rPr>
          <w:rFonts w:ascii="Calibri" w:hAnsi="Calibri"/>
          <w:sz w:val="24"/>
        </w:rPr>
        <w:t>The solution addresses the following key business objectives identified during discovery.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Infrastructure Modernization:</w:t>
      </w:r>
      <w:r>
        <w:rPr>
          <w:rFonts w:ascii="Calibri" w:hAnsi="Calibri"/>
          <w:sz w:val="24"/>
        </w:rPr>
        <w:t xml:space="preserve"> Replace aging Exchange 2010/2013 and file servers approaching end-of-life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Remote Work Enablement:</w:t>
      </w:r>
      <w:r>
        <w:rPr>
          <w:rFonts w:ascii="Calibri" w:hAnsi="Calibri"/>
          <w:sz w:val="24"/>
        </w:rPr>
        <w:t xml:space="preserve"> Enable secure collaboration for 500 employees across office and remote locations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Cost Optimization:</w:t>
      </w:r>
      <w:r>
        <w:rPr>
          <w:rFonts w:ascii="Calibri" w:hAnsi="Calibri"/>
          <w:sz w:val="24"/>
        </w:rPr>
        <w:t xml:space="preserve"> Avoid $220K capex for on-premises infrastructure refresh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Security Enhancement:</w:t>
      </w:r>
      <w:r>
        <w:rPr>
          <w:rFonts w:ascii="Calibri" w:hAnsi="Calibri"/>
          <w:sz w:val="24"/>
        </w:rPr>
        <w:t xml:space="preserve"> Implement zero-trust security with MFA, Conditional Access, and threat protection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Productivity Improvement:</w:t>
      </w:r>
      <w:r>
        <w:rPr>
          <w:rFonts w:ascii="Calibri" w:hAnsi="Calibri"/>
          <w:sz w:val="24"/>
        </w:rPr>
        <w:t xml:space="preserve"> Deploy modern collaboration tools reducing email volume and enabling real-time co-authoring</w:t>
      </w:r>
    </w:p>
    <w:p>
      <w:pPr>
        <w:pStyle w:val="Heading2"/>
        <w:spacing w:before="240" w:after="120"/>
        <w:ind w:left="0"/>
      </w:pPr>
      <w:r>
        <w:t>2.2 Workload Criticality &amp; SLA Expectations</w:t>
      </w:r>
    </w:p>
    <w:p>
      <w:r>
        <w:rPr>
          <w:rFonts w:ascii="Calibri" w:hAnsi="Calibri"/>
          <w:sz w:val="24"/>
        </w:rPr>
        <w:t>The following service level targets define the operational requirements for the M365 environment.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Metric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Target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Measurement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Priority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Email Availability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99.9%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Microsoft SLA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Critical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Teams Availability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99.9%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Microsoft SLA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Critical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Migration Data Loss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0%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Post-migration audit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Critical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MFA Enrollment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100%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Azure AD reports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High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</w:t>
      </w:r>
      <w:r>
        <w:fldChar w:fldCharType="end"/>
      </w:r>
      <w:r>
        <w:rPr>
          <w:rFonts w:ascii="Calibri" w:hAnsi="Calibri"/>
          <w:sz w:val="20"/>
        </w:rPr>
        <w:t>: Service Level Targets</w:t>
      </w:r>
    </w:p>
    <w:p>
      <w:pPr>
        <w:pStyle w:val="Heading2"/>
        <w:spacing w:before="240" w:after="120"/>
        <w:ind w:left="0"/>
      </w:pPr>
      <w:r>
        <w:t>2.3 Compliance &amp; Regulatory Factors</w:t>
      </w:r>
    </w:p>
    <w:p>
      <w:r>
        <w:rPr>
          <w:rFonts w:ascii="Calibri" w:hAnsi="Calibri"/>
          <w:sz w:val="24"/>
        </w:rPr>
        <w:t>The solution must adhere to the following regulatory and compliance requirements.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SOC 2 Type II compliance (inherited from M365)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GDPR data protection and privacy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HIPAA compliance (with BAA from Microsoft)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Data residency controls for US datacenter storage</w:t>
      </w:r>
    </w:p>
    <w:p>
      <w:pPr>
        <w:pStyle w:val="Heading2"/>
        <w:spacing w:before="240" w:after="120"/>
        <w:ind w:left="0"/>
      </w:pPr>
      <w:r>
        <w:t>2.4 Success Criteria</w:t>
      </w:r>
    </w:p>
    <w:p>
      <w:r>
        <w:rPr>
          <w:rFonts w:ascii="Calibri" w:hAnsi="Calibri"/>
          <w:sz w:val="24"/>
        </w:rPr>
        <w:t>Project success will be measured against the following criteria at go-live.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100% email and file migration with zero data loss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90%+ Teams daily active users within 3 months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100% MFA enrollment across all 500 users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75% reduction in security incidents within 6 months</w:t>
      </w:r>
    </w:p>
    <w:p>
      <w:pPr>
        <w:pStyle w:val="Heading1"/>
        <w:spacing w:before="160" w:after="120"/>
        <w:ind w:left="0"/>
      </w:pPr>
      <w:r>
        <w:t>3 Current-State Assessment</w:t>
      </w:r>
    </w:p>
    <w:p>
      <w:r>
        <w:rPr>
          <w:rFonts w:ascii="Calibri" w:hAnsi="Calibri"/>
          <w:sz w:val="24"/>
        </w:rPr>
        <w:t>This section documents the existing environment that will be migrated to Microsoft 365.</w:t>
      </w:r>
    </w:p>
    <w:p>
      <w:pPr>
        <w:pStyle w:val="Heading2"/>
        <w:spacing w:before="240" w:after="120"/>
        <w:ind w:left="0"/>
      </w:pPr>
      <w:r>
        <w:t>3.1 Application Landscape</w:t>
      </w:r>
    </w:p>
    <w:p>
      <w:r>
        <w:rPr>
          <w:rFonts w:ascii="Calibri" w:hAnsi="Calibri"/>
          <w:sz w:val="24"/>
        </w:rPr>
        <w:t>The current environment consists of on-premises Exchange and file servers that will be migrated to M365.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Application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Purpose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Technology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Status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Exchange Server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Email and calendaring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Exchange 2010/2013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To be migrated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File Servers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Document storage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Windows File Services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To be migrated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Active Directory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Identity management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Windows Server 2019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Integration point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VPN Gateway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Remote access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Client VPN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Integration point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2</w:t>
      </w:r>
      <w:r>
        <w:fldChar w:fldCharType="end"/>
      </w:r>
      <w:r>
        <w:rPr>
          <w:rFonts w:ascii="Calibri" w:hAnsi="Calibri"/>
          <w:sz w:val="20"/>
        </w:rPr>
        <w:t>: Application Inventory</w:t>
      </w:r>
    </w:p>
    <w:p>
      <w:pPr>
        <w:pStyle w:val="Heading2"/>
        <w:spacing w:before="240" w:after="120"/>
        <w:ind w:left="0"/>
      </w:pPr>
      <w:r>
        <w:t>3.2 Infrastructure Inventory</w:t>
      </w:r>
    </w:p>
    <w:p>
      <w:r>
        <w:rPr>
          <w:rFonts w:ascii="Calibri" w:hAnsi="Calibri"/>
          <w:sz w:val="24"/>
        </w:rPr>
        <w:t>The current infrastructure consists of the following components.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Component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Quantity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Specifications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Notes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Exchange Servers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Exchange 2010/2013, 4 vCPU, 16GB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500 mailboxes, 250GB data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File Servers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Windows Server 2019, 5TB storage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Department file shares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Domain Controllers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Windows Server 2019, AD DS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Hybrid identity source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3</w:t>
      </w:r>
      <w:r>
        <w:fldChar w:fldCharType="end"/>
      </w:r>
      <w:r>
        <w:rPr>
          <w:rFonts w:ascii="Calibri" w:hAnsi="Calibri"/>
          <w:sz w:val="20"/>
        </w:rPr>
        <w:t>: Infrastructure Inventory</w:t>
      </w:r>
    </w:p>
    <w:p>
      <w:pPr>
        <w:pStyle w:val="Heading2"/>
        <w:spacing w:before="240" w:after="120"/>
        <w:ind w:left="0"/>
      </w:pPr>
      <w:r>
        <w:t>3.3 Performance Baseline</w:t>
      </w:r>
    </w:p>
    <w:p>
      <w:r>
        <w:rPr>
          <w:rFonts w:ascii="Calibri" w:hAnsi="Calibri"/>
          <w:sz w:val="24"/>
        </w:rPr>
        <w:t>Current system performance metrics establish the baseline for migration planning.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Email users: 500 active users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Total mailbox data: 250GB (avg 500MB per user)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Total file data: 5TB across department shares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Daily email volume: ~5,000 messages</w:t>
      </w:r>
    </w:p>
    <w:p>
      <w:pPr>
        <w:pStyle w:val="Heading1"/>
        <w:spacing w:before="160" w:after="120"/>
        <w:ind w:left="0"/>
      </w:pPr>
      <w:r>
        <w:t>4 Solution Architecture</w:t>
      </w:r>
    </w:p>
    <w:p>
      <w:r>
        <w:rPr>
          <w:rFonts w:ascii="Calibri" w:hAnsi="Calibri"/>
          <w:sz w:val="24"/>
        </w:rPr>
        <w:t>The target architecture leverages Microsoft 365 E5 for enterprise collaboration with zero-trust security.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107572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0757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rFonts w:ascii="Calibri" w:hAnsi="Calibri"/>
          <w:sz w:val="20"/>
        </w:rPr>
        <w:t>1</w:t>
      </w:r>
      <w:r>
        <w:fldChar w:fldCharType="end"/>
      </w:r>
      <w:r>
        <w:rPr>
          <w:rFonts w:ascii="Calibri" w:hAnsi="Calibri"/>
          <w:sz w:val="20"/>
        </w:rPr>
        <w:t>: Solution Architecture</w:t>
      </w:r>
    </w:p>
    <w:p>
      <w:pPr>
        <w:pStyle w:val="Heading2"/>
        <w:spacing w:before="240" w:after="120"/>
        <w:ind w:left="0"/>
      </w:pPr>
      <w:r>
        <w:t>4.1 Architecture Principles</w:t>
      </w:r>
    </w:p>
    <w:p>
      <w:r>
        <w:rPr>
          <w:rFonts w:ascii="Calibri" w:hAnsi="Calibri"/>
          <w:sz w:val="24"/>
        </w:rPr>
        <w:t>The following principles guide all architectural decisions throughout the solution design.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Cloud-First:</w:t>
      </w:r>
      <w:r>
        <w:rPr>
          <w:rFonts w:ascii="Calibri" w:hAnsi="Calibri"/>
          <w:sz w:val="24"/>
        </w:rPr>
        <w:t xml:space="preserve"> Leverage SaaS services for reduced management overhead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Zero Trust:</w:t>
      </w:r>
      <w:r>
        <w:rPr>
          <w:rFonts w:ascii="Calibri" w:hAnsi="Calibri"/>
          <w:sz w:val="24"/>
        </w:rPr>
        <w:t xml:space="preserve"> Verify every access request with MFA and Conditional Access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User Experience:</w:t>
      </w:r>
      <w:r>
        <w:rPr>
          <w:rFonts w:ascii="Calibri" w:hAnsi="Calibri"/>
          <w:sz w:val="24"/>
        </w:rPr>
        <w:t xml:space="preserve"> Seamless SSO and modern collaboration tools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Security by Default:</w:t>
      </w:r>
      <w:r>
        <w:rPr>
          <w:rFonts w:ascii="Calibri" w:hAnsi="Calibri"/>
          <w:sz w:val="24"/>
        </w:rPr>
        <w:t xml:space="preserve"> Enable security features at deployment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Compliance Built-In:</w:t>
      </w:r>
      <w:r>
        <w:rPr>
          <w:rFonts w:ascii="Calibri" w:hAnsi="Calibri"/>
          <w:sz w:val="24"/>
        </w:rPr>
        <w:t xml:space="preserve"> Leverage Microsoft compliance tools for SOC 2, GDPR, HIPAA</w:t>
      </w:r>
    </w:p>
    <w:p>
      <w:pPr>
        <w:pStyle w:val="Heading2"/>
        <w:spacing w:before="240" w:after="120"/>
        <w:ind w:left="0"/>
      </w:pPr>
      <w:r>
        <w:t>4.2 Component Design</w:t>
      </w:r>
    </w:p>
    <w:p>
      <w:r>
        <w:rPr>
          <w:rFonts w:ascii="Calibri" w:hAnsi="Calibri"/>
          <w:sz w:val="24"/>
        </w:rPr>
        <w:t>The solution comprises the following logical components.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Component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Purpose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Technology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Dependencies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M365 Tenant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Collaboration platform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M365 E5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Azure AD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Azure AD Connect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Identity sync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Azure AD Connect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On-prem AD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Exchange Online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Email and calendar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Exchange Online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Azure AD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SharePoint Online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Document collaboration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SharePoint Online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Azure AD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Microsoft Teams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Chat, meetings, calling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Teams Premium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M365 E5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Defender for O365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Threat protection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Defender for O365 P2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M365 E5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Microsoft Purview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DLP and compliance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Purview E5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M365 E5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Intune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Device management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Intune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Azure AD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4</w:t>
      </w:r>
      <w:r>
        <w:fldChar w:fldCharType="end"/>
      </w:r>
      <w:r>
        <w:rPr>
          <w:rFonts w:ascii="Calibri" w:hAnsi="Calibri"/>
          <w:sz w:val="20"/>
        </w:rPr>
        <w:t>: Solution Components</w:t>
      </w:r>
    </w:p>
    <w:p>
      <w:pPr>
        <w:pStyle w:val="Heading2"/>
        <w:spacing w:before="240" w:after="120"/>
        <w:ind w:left="0"/>
      </w:pPr>
      <w:r>
        <w:t>4.3 Technology Stack</w:t>
      </w:r>
    </w:p>
    <w:p>
      <w:r>
        <w:rPr>
          <w:rFonts w:ascii="Calibri" w:hAnsi="Calibri"/>
          <w:sz w:val="24"/>
        </w:rPr>
        <w:t>The technology stack has been selected based on M365 E5 licensing and enterprise requirements.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Layer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Technology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Rationale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Email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Exchange Online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100GB mailboxes, unlimited archive, eDiscovery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Files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SharePoint, OneDrive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5TB+ storage, co-authoring, versioning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Collaboration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Microsoft Teams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Chat, meetings, calling, guest access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Identity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Azure AD with SSO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Hybrid identity, Conditional Access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Security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Defender for O365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Anti-phishing, Safe Links/Attachments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Compliance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Microsoft Purview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DLP, retention, eDiscovery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Devices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Microsoft Intune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MDM for 500 endpoints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Telephony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Teams Phone System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PSTN calling for 150 users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5</w:t>
      </w:r>
      <w:r>
        <w:fldChar w:fldCharType="end"/>
      </w:r>
      <w:r>
        <w:rPr>
          <w:rFonts w:ascii="Calibri" w:hAnsi="Calibri"/>
          <w:sz w:val="20"/>
        </w:rPr>
        <w:t>: Technology Stack</w:t>
      </w:r>
    </w:p>
    <w:p>
      <w:pPr>
        <w:pStyle w:val="Heading1"/>
        <w:spacing w:before="160" w:after="120"/>
        <w:ind w:left="0"/>
      </w:pPr>
      <w:r>
        <w:t>5 Security &amp; Compliance</w:t>
      </w:r>
    </w:p>
    <w:p>
      <w:r>
        <w:rPr>
          <w:rFonts w:ascii="Calibri" w:hAnsi="Calibri"/>
          <w:sz w:val="24"/>
        </w:rPr>
        <w:t>This section details the security controls and compliance mechanisms.</w:t>
      </w:r>
    </w:p>
    <w:p>
      <w:pPr>
        <w:pStyle w:val="Heading2"/>
        <w:spacing w:before="240" w:after="120"/>
        <w:ind w:left="0"/>
      </w:pPr>
      <w:r>
        <w:t>5.1 Identity &amp; Access Management</w:t>
      </w:r>
    </w:p>
    <w:p>
      <w:r>
        <w:rPr>
          <w:rFonts w:ascii="Calibri" w:hAnsi="Calibri"/>
          <w:sz w:val="24"/>
        </w:rPr>
        <w:t>Access control follows zero-trust principles with MFA for all users.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Authentication:</w:t>
      </w:r>
      <w:r>
        <w:rPr>
          <w:rFonts w:ascii="Calibri" w:hAnsi="Calibri"/>
          <w:sz w:val="24"/>
        </w:rPr>
        <w:t xml:space="preserve"> Password hash sync with Azure AD Connect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MFA:</w:t>
      </w:r>
      <w:r>
        <w:rPr>
          <w:rFonts w:ascii="Calibri" w:hAnsi="Calibri"/>
          <w:sz w:val="24"/>
        </w:rPr>
        <w:t xml:space="preserve"> Required for all users via Conditional Access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SSO:</w:t>
      </w:r>
      <w:r>
        <w:rPr>
          <w:rFonts w:ascii="Calibri" w:hAnsi="Calibri"/>
          <w:sz w:val="24"/>
        </w:rPr>
        <w:t xml:space="preserve"> Seamless single sign-on for domain-joined devices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Conditional Access:</w:t>
      </w:r>
      <w:r>
        <w:rPr>
          <w:rFonts w:ascii="Calibri" w:hAnsi="Calibri"/>
          <w:sz w:val="24"/>
        </w:rPr>
        <w:t xml:space="preserve"> Device compliance, location, app restrictions</w:t>
      </w:r>
    </w:p>
    <w:p>
      <w:pPr>
        <w:pStyle w:val="Heading3"/>
        <w:spacing w:before="160" w:after="120"/>
        <w:ind w:left="0"/>
      </w:pPr>
      <w:r>
        <w:t>5.1.1 Role Definitions</w:t>
      </w:r>
    </w:p>
    <w:p>
      <w:r>
        <w:rPr>
          <w:rFonts w:ascii="Calibri" w:hAnsi="Calibri"/>
          <w:sz w:val="24"/>
        </w:rPr>
        <w:t>The following roles define access levels within the M365 environment.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Role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Permissions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Scope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Employee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Standard M365 access, Teams, OneDrive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Personal content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Manager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Employee + reporting access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Team content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Administrator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M365 admin center, Exchange admin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Tenant administration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Executive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Employee + restricted data access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Executive communications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Guest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Limited Teams/SharePoint access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Specific sites only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6</w:t>
      </w:r>
      <w:r>
        <w:fldChar w:fldCharType="end"/>
      </w:r>
      <w:r>
        <w:rPr>
          <w:rFonts w:ascii="Calibri" w:hAnsi="Calibri"/>
          <w:sz w:val="20"/>
        </w:rPr>
        <w:t>: Role Permissions</w:t>
      </w:r>
    </w:p>
    <w:p>
      <w:pPr>
        <w:pStyle w:val="Heading2"/>
        <w:spacing w:before="240" w:after="120"/>
        <w:ind w:left="0"/>
      </w:pPr>
      <w:r>
        <w:t>5.2 Network Security</w:t>
      </w:r>
    </w:p>
    <w:p>
      <w:r>
        <w:rPr>
          <w:rFonts w:ascii="Calibri" w:hAnsi="Calibri"/>
          <w:sz w:val="24"/>
        </w:rPr>
        <w:t>Network security leverages Microsoft's global network with optional ExpressRoute.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Connectivity:</w:t>
      </w:r>
      <w:r>
        <w:rPr>
          <w:rFonts w:ascii="Calibri" w:hAnsi="Calibri"/>
          <w:sz w:val="24"/>
        </w:rPr>
        <w:t xml:space="preserve"> Direct internet breakout for M365 traffic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ExpressRoute:</w:t>
      </w:r>
      <w:r>
        <w:rPr>
          <w:rFonts w:ascii="Calibri" w:hAnsi="Calibri"/>
          <w:sz w:val="24"/>
        </w:rPr>
        <w:t xml:space="preserve"> Optional dedicated connectivity for optimized performance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QoS:</w:t>
      </w:r>
      <w:r>
        <w:rPr>
          <w:rFonts w:ascii="Calibri" w:hAnsi="Calibri"/>
          <w:sz w:val="24"/>
        </w:rPr>
        <w:t xml:space="preserve"> DSCP marking for Teams real-time media</w:t>
      </w:r>
    </w:p>
    <w:p>
      <w:pPr>
        <w:pStyle w:val="Heading2"/>
        <w:spacing w:before="240" w:after="120"/>
        <w:ind w:left="0"/>
      </w:pPr>
      <w:r>
        <w:t>5.3 Data Protection</w:t>
      </w:r>
    </w:p>
    <w:p>
      <w:r>
        <w:rPr>
          <w:rFonts w:ascii="Calibri" w:hAnsi="Calibri"/>
          <w:sz w:val="24"/>
        </w:rPr>
        <w:t>Data protection controls ensure confidentiality throughout the data lifecycle.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Encryption at Rest:</w:t>
      </w:r>
      <w:r>
        <w:rPr>
          <w:rFonts w:ascii="Calibri" w:hAnsi="Calibri"/>
          <w:sz w:val="24"/>
        </w:rPr>
        <w:t xml:space="preserve"> BitLocker for devices, Microsoft encryption for M365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Encryption in Transit:</w:t>
      </w:r>
      <w:r>
        <w:rPr>
          <w:rFonts w:ascii="Calibri" w:hAnsi="Calibri"/>
          <w:sz w:val="24"/>
        </w:rPr>
        <w:t xml:space="preserve"> TLS 1.2+ for all communications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DLP:</w:t>
      </w:r>
      <w:r>
        <w:rPr>
          <w:rFonts w:ascii="Calibri" w:hAnsi="Calibri"/>
          <w:sz w:val="24"/>
        </w:rPr>
        <w:t xml:space="preserve"> Purview DLP policies preventing sensitive data leakage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Sensitivity Labels:</w:t>
      </w:r>
      <w:r>
        <w:rPr>
          <w:rFonts w:ascii="Calibri" w:hAnsi="Calibri"/>
          <w:sz w:val="24"/>
        </w:rPr>
        <w:t xml:space="preserve"> Automatic classification for sensitive content</w:t>
      </w:r>
    </w:p>
    <w:p>
      <w:pPr>
        <w:pStyle w:val="Heading2"/>
        <w:spacing w:before="240" w:after="120"/>
        <w:ind w:left="0"/>
      </w:pPr>
      <w:r>
        <w:t>5.4 Compliance Mappings</w:t>
      </w:r>
    </w:p>
    <w:p>
      <w:r>
        <w:rPr>
          <w:rFonts w:ascii="Calibri" w:hAnsi="Calibri"/>
          <w:sz w:val="24"/>
        </w:rPr>
        <w:t>The following table maps compliance requirements to M365 controls.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Framework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Requirement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Implementation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Evidence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SOC 2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Access controls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Conditional Access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Azure AD logs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GDPR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Data protection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Purview DLP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Compliance reports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HIPAA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PHI protection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Sensitivity labels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Audit logs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7</w:t>
      </w:r>
      <w:r>
        <w:fldChar w:fldCharType="end"/>
      </w:r>
      <w:r>
        <w:rPr>
          <w:rFonts w:ascii="Calibri" w:hAnsi="Calibri"/>
          <w:sz w:val="20"/>
        </w:rPr>
        <w:t>: Compliance Requirements</w:t>
      </w:r>
    </w:p>
    <w:p>
      <w:pPr>
        <w:pStyle w:val="Heading1"/>
        <w:spacing w:before="160" w:after="120"/>
        <w:ind w:left="0"/>
      </w:pPr>
      <w:r>
        <w:t>6 Data Architecture</w:t>
      </w:r>
    </w:p>
    <w:p>
      <w:r>
        <w:rPr>
          <w:rFonts w:ascii="Calibri" w:hAnsi="Calibri"/>
          <w:sz w:val="24"/>
        </w:rPr>
        <w:t>This section defines the data model, migration approach, and governance controls.</w:t>
      </w:r>
    </w:p>
    <w:p>
      <w:pPr>
        <w:pStyle w:val="Heading2"/>
        <w:spacing w:before="240" w:after="120"/>
        <w:ind w:left="0"/>
      </w:pPr>
      <w:r>
        <w:t>6.1 Data Model</w:t>
      </w:r>
    </w:p>
    <w:p>
      <w:pPr>
        <w:pStyle w:val="Heading3"/>
        <w:spacing w:before="160" w:after="120"/>
        <w:ind w:left="0"/>
      </w:pPr>
      <w:r>
        <w:t>6.1.1 Logical Model</w:t>
      </w:r>
    </w:p>
    <w:p>
      <w:r>
        <w:rPr>
          <w:rFonts w:ascii="Calibri" w:hAnsi="Calibri"/>
          <w:sz w:val="24"/>
        </w:rPr>
        <w:t>The logical data model defines the primary data stores in M365.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Data Store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Purpose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Volume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Retention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Exchange Online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Email, calendar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250GB (500 users)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7 years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SharePoint Online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Department sites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5TB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 years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OneDrive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User files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500TB (1TB/user)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 years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Teams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Chat, files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Variable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7 years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8</w:t>
      </w:r>
      <w:r>
        <w:fldChar w:fldCharType="end"/>
      </w:r>
      <w:r>
        <w:rPr>
          <w:rFonts w:ascii="Calibri" w:hAnsi="Calibri"/>
          <w:sz w:val="20"/>
        </w:rPr>
        <w:t>: Data Store</w:t>
      </w:r>
    </w:p>
    <w:p>
      <w:pPr>
        <w:pStyle w:val="Heading2"/>
        <w:spacing w:before="240" w:after="120"/>
        <w:ind w:left="0"/>
      </w:pPr>
      <w:r>
        <w:t>6.2 Data Migration Strategy</w:t>
      </w:r>
    </w:p>
    <w:p>
      <w:r>
        <w:rPr>
          <w:rFonts w:ascii="Calibri" w:hAnsi="Calibri"/>
          <w:sz w:val="24"/>
        </w:rPr>
        <w:t>Data migration follows a phased pilot-then-production approach.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Approach:</w:t>
      </w:r>
      <w:r>
        <w:rPr>
          <w:rFonts w:ascii="Calibri" w:hAnsi="Calibri"/>
          <w:sz w:val="24"/>
        </w:rPr>
        <w:t xml:space="preserve"> 50-user pilot followed by 5 departmental waves (90 users each)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Tools:</w:t>
      </w:r>
      <w:r>
        <w:rPr>
          <w:rFonts w:ascii="Calibri" w:hAnsi="Calibri"/>
          <w:sz w:val="24"/>
        </w:rPr>
        <w:t xml:space="preserve"> Microsoft Data Migration Service, ShareGate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Validation:</w:t>
      </w:r>
      <w:r>
        <w:rPr>
          <w:rFonts w:ascii="Calibri" w:hAnsi="Calibri"/>
          <w:sz w:val="24"/>
        </w:rPr>
        <w:t xml:space="preserve"> Message count reconciliation, folder structure verification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Rollback:</w:t>
      </w:r>
      <w:r>
        <w:rPr>
          <w:rFonts w:ascii="Calibri" w:hAnsi="Calibri"/>
          <w:sz w:val="24"/>
        </w:rPr>
        <w:t xml:space="preserve"> Hybrid Exchange enables rollback for 14 days</w:t>
      </w:r>
    </w:p>
    <w:p>
      <w:pPr>
        <w:pStyle w:val="Heading2"/>
        <w:spacing w:before="240" w:after="120"/>
        <w:ind w:left="0"/>
      </w:pPr>
      <w:r>
        <w:t>6.3 Data Governance</w:t>
      </w:r>
    </w:p>
    <w:p>
      <w:r>
        <w:rPr>
          <w:rFonts w:ascii="Calibri" w:hAnsi="Calibri"/>
          <w:sz w:val="24"/>
        </w:rPr>
        <w:t>Data governance policies ensure proper retention, classification, and disposal.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Retention:</w:t>
      </w:r>
      <w:r>
        <w:rPr>
          <w:rFonts w:ascii="Calibri" w:hAnsi="Calibri"/>
          <w:sz w:val="24"/>
        </w:rPr>
        <w:t xml:space="preserve"> 7-year email retention, 5-year document retention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Classification:</w:t>
      </w:r>
      <w:r>
        <w:rPr>
          <w:rFonts w:ascii="Calibri" w:hAnsi="Calibri"/>
          <w:sz w:val="24"/>
        </w:rPr>
        <w:t xml:space="preserve"> Sensitivity labels (Confidential, Internal, Public)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Disposal:</w:t>
      </w:r>
      <w:r>
        <w:rPr>
          <w:rFonts w:ascii="Calibri" w:hAnsi="Calibri"/>
          <w:sz w:val="24"/>
        </w:rPr>
        <w:t xml:space="preserve"> Automated deletion per retention policies</w:t>
      </w:r>
    </w:p>
    <w:p>
      <w:pPr>
        <w:pStyle w:val="Heading1"/>
        <w:spacing w:before="160" w:after="120"/>
        <w:ind w:left="0"/>
      </w:pPr>
      <w:r>
        <w:t>7 Integration Design</w:t>
      </w:r>
    </w:p>
    <w:p>
      <w:r>
        <w:rPr>
          <w:rFonts w:ascii="Calibri" w:hAnsi="Calibri"/>
          <w:sz w:val="24"/>
        </w:rPr>
        <w:t>This section documents the integration patterns and external connections.</w:t>
      </w:r>
    </w:p>
    <w:p>
      <w:pPr>
        <w:pStyle w:val="Heading2"/>
        <w:spacing w:before="240" w:after="120"/>
        <w:ind w:left="0"/>
      </w:pPr>
      <w:r>
        <w:t>7.1 External System Integrations</w:t>
      </w:r>
    </w:p>
    <w:p>
      <w:r>
        <w:rPr>
          <w:rFonts w:ascii="Calibri" w:hAnsi="Calibri"/>
          <w:sz w:val="24"/>
        </w:rPr>
        <w:t>The solution integrates with the following systems.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System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Type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Protocol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Format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Security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SLA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On-prem AD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Real-time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LDAPS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Directory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Azure AD Connect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99.9%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Phone System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PSTN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SIP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Voice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Direct Routing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99.9%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9</w:t>
      </w:r>
      <w:r>
        <w:fldChar w:fldCharType="end"/>
      </w:r>
      <w:r>
        <w:rPr>
          <w:rFonts w:ascii="Calibri" w:hAnsi="Calibri"/>
          <w:sz w:val="20"/>
        </w:rPr>
        <w:t>: System Integrations</w:t>
      </w:r>
    </w:p>
    <w:p>
      <w:pPr>
        <w:pStyle w:val="Heading2"/>
        <w:spacing w:before="240" w:after="120"/>
        <w:ind w:left="0"/>
      </w:pPr>
      <w:r>
        <w:t>7.2 Identity Federation</w:t>
      </w:r>
    </w:p>
    <w:p>
      <w:r>
        <w:rPr>
          <w:rFonts w:ascii="Calibri" w:hAnsi="Calibri"/>
          <w:sz w:val="24"/>
        </w:rPr>
        <w:t>Azure AD Connect provides hybrid identity with on-premises AD.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Password hash synchronization for SSO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Seamless SSO for domain-joined devices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Hybrid Azure AD Join for device registration</w:t>
      </w:r>
    </w:p>
    <w:p>
      <w:pPr>
        <w:pStyle w:val="Heading1"/>
        <w:spacing w:before="160" w:after="120"/>
        <w:ind w:left="0"/>
      </w:pPr>
      <w:r>
        <w:t>8 Infrastructure &amp; Operations</w:t>
      </w:r>
    </w:p>
    <w:p>
      <w:r>
        <w:rPr>
          <w:rFonts w:ascii="Calibri" w:hAnsi="Calibri"/>
          <w:sz w:val="24"/>
        </w:rPr>
        <w:t>This section covers the M365 tenant configuration and operational procedures.</w:t>
      </w:r>
    </w:p>
    <w:p>
      <w:pPr>
        <w:pStyle w:val="Heading2"/>
        <w:spacing w:before="240" w:after="120"/>
        <w:ind w:left="0"/>
      </w:pPr>
      <w:r>
        <w:t>8.1 Tenant Configuration</w:t>
      </w:r>
    </w:p>
    <w:p>
      <w:r>
        <w:rPr>
          <w:rFonts w:ascii="Calibri" w:hAnsi="Calibri"/>
          <w:sz w:val="24"/>
        </w:rPr>
        <w:t>M365 tenant configuration follows Microsoft best practices.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Tenant Location:</w:t>
      </w:r>
      <w:r>
        <w:rPr>
          <w:rFonts w:ascii="Calibri" w:hAnsi="Calibri"/>
          <w:sz w:val="24"/>
        </w:rPr>
        <w:t xml:space="preserve"> United States datacenter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Domain:</w:t>
      </w:r>
      <w:r>
        <w:rPr>
          <w:rFonts w:ascii="Calibri" w:hAnsi="Calibri"/>
          <w:sz w:val="24"/>
        </w:rPr>
        <w:t xml:space="preserve"> Client domain verified and added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Licensing:</w:t>
      </w:r>
      <w:r>
        <w:rPr>
          <w:rFonts w:ascii="Calibri" w:hAnsi="Calibri"/>
          <w:sz w:val="24"/>
        </w:rPr>
        <w:t xml:space="preserve"> M365 E5 for all 500 users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Admin Accounts:</w:t>
      </w:r>
      <w:r>
        <w:rPr>
          <w:rFonts w:ascii="Calibri" w:hAnsi="Calibri"/>
          <w:sz w:val="24"/>
        </w:rPr>
        <w:t xml:space="preserve"> 2 Global Admin accounts with MFA</w:t>
      </w:r>
    </w:p>
    <w:p>
      <w:pPr>
        <w:pStyle w:val="Heading2"/>
        <w:spacing w:before="240" w:after="120"/>
        <w:ind w:left="0"/>
      </w:pPr>
      <w:r>
        <w:t>8.2 Monitoring &amp; Alerting</w:t>
      </w:r>
    </w:p>
    <w:p>
      <w:r>
        <w:rPr>
          <w:rFonts w:ascii="Calibri" w:hAnsi="Calibri"/>
          <w:sz w:val="24"/>
        </w:rPr>
        <w:t>Comprehensive monitoring provides visibility across M365 services.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Service Health:</w:t>
      </w:r>
      <w:r>
        <w:rPr>
          <w:rFonts w:ascii="Calibri" w:hAnsi="Calibri"/>
          <w:sz w:val="24"/>
        </w:rPr>
        <w:t xml:space="preserve"> M365 admin center service health dashboard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Security Alerts:</w:t>
      </w:r>
      <w:r>
        <w:rPr>
          <w:rFonts w:ascii="Calibri" w:hAnsi="Calibri"/>
          <w:sz w:val="24"/>
        </w:rPr>
        <w:t xml:space="preserve"> Defender for O365 alerts and AIR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Compliance:</w:t>
      </w:r>
      <w:r>
        <w:rPr>
          <w:rFonts w:ascii="Calibri" w:hAnsi="Calibri"/>
          <w:sz w:val="24"/>
        </w:rPr>
        <w:t xml:space="preserve"> Purview compliance dashboard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Usage:</w:t>
      </w:r>
      <w:r>
        <w:rPr>
          <w:rFonts w:ascii="Calibri" w:hAnsi="Calibri"/>
          <w:sz w:val="24"/>
        </w:rPr>
        <w:t xml:space="preserve"> M365 usage analytics in Power BI</w:t>
      </w:r>
    </w:p>
    <w:p>
      <w:pPr>
        <w:pStyle w:val="Heading2"/>
        <w:spacing w:before="240" w:after="120"/>
        <w:ind w:left="0"/>
      </w:pPr>
      <w:r>
        <w:t>8.3 Cost Model</w:t>
      </w:r>
    </w:p>
    <w:p>
      <w:r>
        <w:rPr>
          <w:rFonts w:ascii="Calibri" w:hAnsi="Calibri"/>
          <w:sz w:val="24"/>
        </w:rPr>
        <w:t>The estimated annual costs are based on SOW specifications.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Category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Monthly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Annual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% of Total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M365 E5 (500 users @ $66.50)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$33,250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$399,000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86%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Azure Services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$2,000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$24,000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5%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Support &amp; Maintenance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$3,562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$42,744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9%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Total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$38,812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$465,744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100%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10</w:t>
      </w:r>
      <w:r>
        <w:fldChar w:fldCharType="end"/>
      </w:r>
      <w:r>
        <w:rPr>
          <w:rFonts w:ascii="Calibri" w:hAnsi="Calibri"/>
          <w:sz w:val="20"/>
        </w:rPr>
        <w:t>: Category And Monthly</w:t>
      </w:r>
    </w:p>
    <w:p>
      <w:pPr>
        <w:pStyle w:val="Heading1"/>
        <w:spacing w:before="160" w:after="120"/>
        <w:ind w:left="0"/>
      </w:pPr>
      <w:r>
        <w:t>9 Implementation Approach</w:t>
      </w:r>
    </w:p>
    <w:p>
      <w:r>
        <w:rPr>
          <w:rFonts w:ascii="Calibri" w:hAnsi="Calibri"/>
          <w:sz w:val="24"/>
        </w:rPr>
        <w:t>This section outlines the deployment strategy and sequencing for the 4-month implementation.</w:t>
      </w:r>
    </w:p>
    <w:p>
      <w:pPr>
        <w:pStyle w:val="Heading2"/>
        <w:spacing w:before="240" w:after="120"/>
        <w:ind w:left="0"/>
      </w:pPr>
      <w:r>
        <w:t>9.1 Migration/Deployment Strategy</w:t>
      </w:r>
    </w:p>
    <w:p>
      <w:r>
        <w:rPr>
          <w:rFonts w:ascii="Calibri" w:hAnsi="Calibri"/>
          <w:sz w:val="24"/>
        </w:rPr>
        <w:t>The deployment strategy minimizes risk through phased pilot-then-production rollout.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Approach:</w:t>
      </w:r>
      <w:r>
        <w:rPr>
          <w:rFonts w:ascii="Calibri" w:hAnsi="Calibri"/>
          <w:sz w:val="24"/>
        </w:rPr>
        <w:t xml:space="preserve"> Pilot validation followed by departmental waves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Pilot:</w:t>
      </w:r>
      <w:r>
        <w:rPr>
          <w:rFonts w:ascii="Calibri" w:hAnsi="Calibri"/>
          <w:sz w:val="24"/>
        </w:rPr>
        <w:t xml:space="preserve"> 50 users across 5 departments (Weeks 4-6)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Production:</w:t>
      </w:r>
      <w:r>
        <w:rPr>
          <w:rFonts w:ascii="Calibri" w:hAnsi="Calibri"/>
          <w:sz w:val="24"/>
        </w:rPr>
        <w:t xml:space="preserve"> 450 users in 5 waves of 90 users (Weeks 7-12)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Validation:</w:t>
      </w:r>
      <w:r>
        <w:rPr>
          <w:rFonts w:ascii="Calibri" w:hAnsi="Calibri"/>
          <w:sz w:val="24"/>
        </w:rPr>
        <w:t xml:space="preserve"> UAT at each wave before proceeding</w:t>
      </w:r>
    </w:p>
    <w:p>
      <w:pPr>
        <w:pStyle w:val="Heading2"/>
        <w:spacing w:before="240" w:after="120"/>
        <w:ind w:left="0"/>
      </w:pPr>
      <w:r>
        <w:t>9.2 Sequencing &amp; Wave Planning</w:t>
      </w:r>
    </w:p>
    <w:p>
      <w:r>
        <w:rPr>
          <w:rFonts w:ascii="Calibri" w:hAnsi="Calibri"/>
          <w:sz w:val="24"/>
        </w:rPr>
        <w:t>The implementation follows a five-phase approach.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Phase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Activities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Duration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Exit Criteria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Foundation &amp; Pilot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Weeks 1-6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Pilot validated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Email &amp; SharePoint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Weeks 7-12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500 users migrated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Teams &amp; Phone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Weeks 13-14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Teams/Phone deployed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Security Hardening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15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Defender/Purview live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Hypercare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Weeks 16-19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Support transitioned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11</w:t>
      </w:r>
      <w:r>
        <w:fldChar w:fldCharType="end"/>
      </w:r>
      <w:r>
        <w:rPr>
          <w:rFonts w:ascii="Calibri" w:hAnsi="Calibri"/>
          <w:sz w:val="20"/>
        </w:rPr>
        <w:t>: Implementation Phases</w:t>
      </w:r>
    </w:p>
    <w:p>
      <w:pPr>
        <w:pStyle w:val="Heading2"/>
        <w:spacing w:before="240" w:after="120"/>
        <w:ind w:left="0"/>
      </w:pPr>
      <w:r>
        <w:t>9.3 Cutover Approach</w:t>
      </w:r>
    </w:p>
    <w:p>
      <w:r>
        <w:rPr>
          <w:rFonts w:ascii="Calibri" w:hAnsi="Calibri"/>
          <w:sz w:val="24"/>
        </w:rPr>
        <w:t>The cutover strategy uses departmental waves to minimize business disruption.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Type:</w:t>
      </w:r>
      <w:r>
        <w:rPr>
          <w:rFonts w:ascii="Calibri" w:hAnsi="Calibri"/>
          <w:sz w:val="24"/>
        </w:rPr>
        <w:t xml:space="preserve"> Phased cutover with weekend migration windows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Wave Size:</w:t>
      </w:r>
      <w:r>
        <w:rPr>
          <w:rFonts w:ascii="Calibri" w:hAnsi="Calibri"/>
          <w:sz w:val="24"/>
        </w:rPr>
        <w:t xml:space="preserve"> 90 users per wave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Window:</w:t>
      </w:r>
      <w:r>
        <w:rPr>
          <w:rFonts w:ascii="Calibri" w:hAnsi="Calibri"/>
          <w:sz w:val="24"/>
        </w:rPr>
        <w:t xml:space="preserve"> Friday 6 PM to Sunday 6 PM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Validation:</w:t>
      </w:r>
      <w:r>
        <w:rPr>
          <w:rFonts w:ascii="Calibri" w:hAnsi="Calibri"/>
          <w:sz w:val="24"/>
        </w:rPr>
        <w:t xml:space="preserve"> Monday morning UAT before proceeding</w:t>
      </w:r>
    </w:p>
    <w:p>
      <w:pPr>
        <w:pStyle w:val="Heading1"/>
        <w:spacing w:before="160" w:after="120"/>
        <w:ind w:left="0"/>
      </w:pPr>
      <w:r>
        <w:t>10 Appendices</w:t>
      </w:r>
    </w:p>
    <w:p>
      <w:pPr>
        <w:pStyle w:val="Heading2"/>
        <w:spacing w:before="240" w:after="120"/>
        <w:ind w:left="0"/>
      </w:pPr>
      <w:r>
        <w:t>10.1 Naming Conventions</w:t>
      </w:r>
    </w:p>
    <w:p>
      <w:r>
        <w:rPr>
          <w:rFonts w:ascii="Calibri" w:hAnsi="Calibri"/>
          <w:sz w:val="24"/>
        </w:rPr>
        <w:t>All M365 resources follow standardized naming conventions.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Resource Type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Pattern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Example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Security Groups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`M365-{Function}-{Role}`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`M365-Finance-Users`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SharePoint Sites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`{Department}-{Purpose}`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`Finance-Documents`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Teams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`{Department} - {Purpose}`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`Marketing - Campaigns`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Conditional Access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`CA-{Condition}-{Action}`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`CA-MFA-AllUsers`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12</w:t>
      </w:r>
      <w:r>
        <w:fldChar w:fldCharType="end"/>
      </w:r>
      <w:r>
        <w:rPr>
          <w:rFonts w:ascii="Calibri" w:hAnsi="Calibri"/>
          <w:sz w:val="20"/>
        </w:rPr>
        <w:t>: Naming Conventions</w:t>
      </w:r>
    </w:p>
    <w:p>
      <w:pPr>
        <w:pStyle w:val="Heading2"/>
        <w:spacing w:before="240" w:after="120"/>
        <w:ind w:left="0"/>
      </w:pPr>
      <w:r>
        <w:t>10.2 Risk Register</w:t>
      </w:r>
    </w:p>
    <w:p>
      <w:r>
        <w:rPr>
          <w:rFonts w:ascii="Calibri" w:hAnsi="Calibri"/>
          <w:sz w:val="24"/>
        </w:rPr>
        <w:t>The following risks have been identified with mitigation strategies.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Risk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Likelihood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Impact</w:t>
            </w:r>
          </w:p>
        </w:tc>
        <w:tc>
          <w:tcPr>
            <w:tcW w:type="dxa" w:w="42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Mitigation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Migration data loss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Low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High</w:t>
            </w:r>
          </w:p>
        </w:tc>
        <w:tc>
          <w:tcPr>
            <w:tcW w:type="dxa" w:w="42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Pre-migration backup, validation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User adoption resistance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Medium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Medium</w:t>
            </w:r>
          </w:p>
        </w:tc>
        <w:tc>
          <w:tcPr>
            <w:tcW w:type="dxa" w:w="42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Champions program, training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Network bandwidth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Medium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Medium</w:t>
            </w:r>
          </w:p>
        </w:tc>
        <w:tc>
          <w:tcPr>
            <w:tcW w:type="dxa" w:w="42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ExpressRoute, split-tunnel VPN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Legacy app compatibility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Medium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Medium</w:t>
            </w:r>
          </w:p>
        </w:tc>
        <w:tc>
          <w:tcPr>
            <w:tcW w:type="dxa" w:w="42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Conditional Access exclusions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13</w:t>
      </w:r>
      <w:r>
        <w:fldChar w:fldCharType="end"/>
      </w:r>
      <w:r>
        <w:rPr>
          <w:rFonts w:ascii="Calibri" w:hAnsi="Calibri"/>
          <w:sz w:val="20"/>
        </w:rPr>
        <w:t>: Risk Register</w:t>
      </w:r>
    </w:p>
    <w:p>
      <w:pPr>
        <w:pStyle w:val="Heading2"/>
        <w:spacing w:before="240" w:after="120"/>
        <w:ind w:left="0"/>
      </w:pPr>
      <w:r>
        <w:t>10.3 Glossary</w:t>
      </w:r>
    </w:p>
    <w:p>
      <w:r>
        <w:rPr>
          <w:rFonts w:ascii="Calibri" w:hAnsi="Calibri"/>
          <w:sz w:val="24"/>
        </w:rPr>
        <w:t>The following terms are used throughout this document.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Term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Definition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Azure AD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Azure Active Directory - Microsoft's cloud identity platform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Conditional Access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Risk-based access policies enforcing MFA and compliance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DLP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Data Loss Prevention - policies preventing data leakage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MFA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Multi-Factor Authentication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SSO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Single Sign-On - seamless authentication across apps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14</w:t>
      </w:r>
      <w:r>
        <w:fldChar w:fldCharType="end"/>
      </w:r>
      <w:r>
        <w:rPr>
          <w:rFonts w:ascii="Calibri" w:hAnsi="Calibri"/>
          <w:sz w:val="20"/>
        </w:rPr>
        <w:t>: Glossary</w:t>
      </w:r>
    </w:p>
    <w:p>
      <w:r>
        <w:br w:type="page"/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41448" cy="5222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1448" cy="522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hyperlink w:history="1" r:id="rId15">
        <w:r>
          <w:rPr>
            <w:rFonts w:ascii="Calibri" w:hAnsi="Calibri"/>
            <w:sz w:val="22"/>
            <w:color w:val="1F4E78"/>
          </w:rPr>
          <w:t>eoframework.org</w:t>
        </w:r>
      </w:hyperlink>
    </w:p>
    <w:sectPr w:rsidR="00517E5A" w:rsidSect="00034616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4F370" w14:textId="77777777" w:rsidR="00701ED1" w:rsidRDefault="00701ED1">
      <w:pPr>
        <w:spacing w:after="0" w:line="240" w:lineRule="auto"/>
      </w:pPr>
      <w:r>
        <w:separator/>
      </w:r>
    </w:p>
  </w:endnote>
  <w:endnote w:type="continuationSeparator" w:id="0">
    <w:p w14:paraId="4190DF2E" w14:textId="77777777" w:rsidR="00701ED1" w:rsidRDefault="00701E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EF862" w14:textId="77777777" w:rsidR="00517E5A" w:rsidRDefault="00000000">
    <w:pPr>
      <w:pStyle w:val="Footer"/>
    </w:pPr>
    <w:r>
      <w:rPr>
        <w:noProof/>
      </w:rPr>
      <w:drawing>
        <wp:inline distT="0" distB="0" distL="0" distR="0" wp14:anchorId="5AB7C88C" wp14:editId="1695A56E">
          <wp:extent cx="1280160" cy="36576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nsulting_company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0160" cy="3657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>
      <w:rPr>
        <w:color w:val="808080"/>
        <w:sz w:val="24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98338B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4A686" w14:textId="77777777" w:rsidR="00701ED1" w:rsidRDefault="00701ED1">
      <w:pPr>
        <w:spacing w:after="0" w:line="240" w:lineRule="auto"/>
      </w:pPr>
      <w:r>
        <w:separator/>
      </w:r>
    </w:p>
  </w:footnote>
  <w:footnote w:type="continuationSeparator" w:id="0">
    <w:p w14:paraId="1573E100" w14:textId="77777777" w:rsidR="00701ED1" w:rsidRDefault="00701E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608B3" w14:textId="30D4E99B" w:rsidR="00517E5A" w:rsidRDefault="00000000">
    <w:pPr>
      <w:pStyle w:val="Header"/>
    </w:pPr>
    <w:r>
      <w:rPr>
        <w:color w:val="808080"/>
        <w:sz w:val="24"/>
      </w:rPr>
      <w:t>Detailed Design Document</w:t>
      <w:tab/>
      <w:tab/>
      <w:t>Microsoft 365 Enterprise Deployment</w:t>
    </w:r>
    <w:r w:rsidR="005B0B47">
      <w:rPr>
        <w:color w:val="808080"/>
        <w:sz w:val="24"/>
      </w:rPr>
    </w:r>
    <w:r>
      <w:rPr>
        <w:color w:val="808080"/>
        <w:sz w:val="24"/>
      </w:rPr>
    </w:r>
    <w:r/>
    <w:r/>
    <w:r>
      <w:rPr>
        <w:color w:val="808080"/>
        <w:sz w:val="24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9744809">
    <w:abstractNumId w:val="8"/>
  </w:num>
  <w:num w:numId="2" w16cid:durableId="200215377">
    <w:abstractNumId w:val="6"/>
  </w:num>
  <w:num w:numId="3" w16cid:durableId="2102413460">
    <w:abstractNumId w:val="5"/>
  </w:num>
  <w:num w:numId="4" w16cid:durableId="946472161">
    <w:abstractNumId w:val="4"/>
  </w:num>
  <w:num w:numId="5" w16cid:durableId="1919824079">
    <w:abstractNumId w:val="7"/>
  </w:num>
  <w:num w:numId="6" w16cid:durableId="1053848157">
    <w:abstractNumId w:val="3"/>
  </w:num>
  <w:num w:numId="7" w16cid:durableId="1376662600">
    <w:abstractNumId w:val="2"/>
  </w:num>
  <w:num w:numId="8" w16cid:durableId="1597639376">
    <w:abstractNumId w:val="1"/>
  </w:num>
  <w:num w:numId="9" w16cid:durableId="1502117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DCB"/>
    <w:rsid w:val="0015074B"/>
    <w:rsid w:val="00175DC1"/>
    <w:rsid w:val="0029639D"/>
    <w:rsid w:val="002B4224"/>
    <w:rsid w:val="002D5501"/>
    <w:rsid w:val="00326F90"/>
    <w:rsid w:val="00517E5A"/>
    <w:rsid w:val="00541DC9"/>
    <w:rsid w:val="005A01BD"/>
    <w:rsid w:val="005A14E3"/>
    <w:rsid w:val="005B0B47"/>
    <w:rsid w:val="006C1B3B"/>
    <w:rsid w:val="00701ED1"/>
    <w:rsid w:val="00717007"/>
    <w:rsid w:val="007647BA"/>
    <w:rsid w:val="008E6583"/>
    <w:rsid w:val="0098338B"/>
    <w:rsid w:val="00A2441E"/>
    <w:rsid w:val="00A7109D"/>
    <w:rsid w:val="00AA1D8D"/>
    <w:rsid w:val="00B47730"/>
    <w:rsid w:val="00CB0664"/>
    <w:rsid w:val="00DF3F7F"/>
    <w:rsid w:val="00E45A90"/>
    <w:rsid w:val="00F01295"/>
    <w:rsid w:val="00F218B7"/>
    <w:rsid w:val="00FC693F"/>
    <w:rsid w:val="00FD6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5C57AA"/>
  <w14:defaultImageDpi w14:val="300"/>
  <w15:docId w15:val="{0421C025-1019-4666-8382-4146CC71E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2E5C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i/>
      <w:color w:val="4040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/>
      <w:outlineLvl w:val="3"/>
    </w:pPr>
    <w:rPr>
      <w:rFonts w:asciiTheme="majorHAnsi" w:eastAsiaTheme="majorEastAsia" w:hAnsiTheme="majorHAnsi" w:cstheme="majorBidi"/>
      <w:bCs/>
      <w:i/>
      <w:iCs/>
      <w:color w:val="5B677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8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Relationship Id="rId15" Type="http://schemas.openxmlformats.org/officeDocument/2006/relationships/hyperlink" Target="https://eoframework.org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Kishan Siram</cp:lastModifiedBy>
  <cp:revision>11</cp:revision>
  <dcterms:created xsi:type="dcterms:W3CDTF">2013-12-23T23:15:00Z</dcterms:created>
  <dcterms:modified xsi:type="dcterms:W3CDTF">2025-11-26T11:44:00Z</dcterms:modified>
  <cp:category/>
</cp:coreProperties>
</file>