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AWS Cloud Migration - On-Premise to Cloud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OPP-MIGRATION-2025-0001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Roles and Responsibilities (RACI Matrix)</w:t>
        <w:tab/>
        <w:t>5</w:t>
        <w:br/>
      </w:r>
      <w:r>
        <w:rPr>
          <w:rFonts w:ascii="Times New Roman" w:hAnsi="Times New Roman"/>
          <w:sz w:val="24"/>
        </w:rPr>
        <w:t>Table 4: Tooling Overview</w:t>
        <w:tab/>
        <w:t>6</w:t>
        <w:br/>
      </w:r>
      <w:r>
        <w:rPr>
          <w:rFonts w:ascii="Times New Roman" w:hAnsi="Times New Roman"/>
          <w:sz w:val="24"/>
        </w:rPr>
        <w:t>Table 5: Total Investment</w:t>
        <w:tab/>
        <w:t>7</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 xml:space="preserve">This Statement of Work (SOW) defines the scope, deliverables, roles, and terms for a </w:t>
      </w:r>
      <w:r>
        <w:rPr>
          <w:rFonts w:ascii="Times New Roman" w:hAnsi="Times New Roman"/>
          <w:b/>
          <w:sz w:val="24"/>
        </w:rPr>
        <w:t>small-scope, lift-and-shift</w:t>
      </w:r>
      <w:r>
        <w:rPr>
          <w:rFonts w:ascii="Times New Roman" w:hAnsi="Times New Roman"/>
          <w:sz w:val="24"/>
        </w:rPr>
        <w:t xml:space="preserve"> migration of 15-25 workloads from on-premise infrastructure to Amazon Web Services (AWS).</w:t>
      </w:r>
    </w:p>
    <w:p>
      <w:pPr>
        <w:spacing w:after="160"/>
      </w:pPr>
      <w:r>
        <w:rPr>
          <w:rFonts w:ascii="Times New Roman" w:hAnsi="Times New Roman"/>
          <w:b/>
          <w:sz w:val="24"/>
        </w:rPr>
        <w:t>Small Scope Migration:</w:t>
      </w:r>
    </w:p>
    <w:p>
      <w:pPr>
        <w:spacing w:after="80"/>
        <w:ind w:left="720" w:hanging="360"/>
      </w:pPr>
      <w:r>
        <w:rPr>
          <w:rFonts w:ascii="Times New Roman" w:hAnsi="Times New Roman"/>
          <w:sz w:val="24"/>
        </w:rPr>
        <w:t xml:space="preserve">• </w:t>
      </w:r>
      <w:r>
        <w:rPr>
          <w:rFonts w:ascii="Times New Roman" w:hAnsi="Times New Roman"/>
          <w:b/>
          <w:sz w:val="24"/>
        </w:rPr>
        <w:t>Workloads:</w:t>
      </w:r>
      <w:r>
        <w:rPr>
          <w:rFonts w:ascii="Times New Roman" w:hAnsi="Times New Roman"/>
          <w:sz w:val="24"/>
        </w:rPr>
        <w:t xml:space="preserve"> 15-25 VMs/applications</w:t>
      </w:r>
    </w:p>
    <w:p>
      <w:pPr>
        <w:spacing w:after="80"/>
        <w:ind w:left="720" w:hanging="360"/>
      </w:pPr>
      <w:r>
        <w:rPr>
          <w:rFonts w:ascii="Times New Roman" w:hAnsi="Times New Roman"/>
          <w:sz w:val="24"/>
        </w:rPr>
        <w:t xml:space="preserve">• </w:t>
      </w:r>
      <w:r>
        <w:rPr>
          <w:rFonts w:ascii="Times New Roman" w:hAnsi="Times New Roman"/>
          <w:b/>
          <w:sz w:val="24"/>
        </w:rPr>
        <w:t>Migration Strategy:</w:t>
      </w:r>
      <w:r>
        <w:rPr>
          <w:rFonts w:ascii="Times New Roman" w:hAnsi="Times New Roman"/>
          <w:sz w:val="24"/>
        </w:rPr>
        <w:t xml:space="preserve"> Lift-and-shift (rehost) - not refactoring</w:t>
      </w:r>
    </w:p>
    <w:p>
      <w:pPr>
        <w:spacing w:after="80"/>
        <w:ind w:left="720" w:hanging="360"/>
      </w:pPr>
      <w:r>
        <w:rPr>
          <w:rFonts w:ascii="Times New Roman" w:hAnsi="Times New Roman"/>
          <w:sz w:val="24"/>
        </w:rPr>
        <w:t xml:space="preserve">• </w:t>
      </w:r>
      <w:r>
        <w:rPr>
          <w:rFonts w:ascii="Times New Roman" w:hAnsi="Times New Roman"/>
          <w:b/>
          <w:sz w:val="24"/>
        </w:rPr>
        <w:t>Infrastructure:</w:t>
      </w:r>
      <w:r>
        <w:rPr>
          <w:rFonts w:ascii="Times New Roman" w:hAnsi="Times New Roman"/>
          <w:sz w:val="24"/>
        </w:rPr>
        <w:t xml:space="preserve"> 3x t3.large EC2, db.t3.large RDS Multi-AZ, 1TB storage</w:t>
      </w:r>
    </w:p>
    <w:p>
      <w:pPr>
        <w:spacing w:after="80"/>
        <w:ind w:left="720" w:hanging="360"/>
      </w:pPr>
      <w:r>
        <w:rPr>
          <w:rFonts w:ascii="Times New Roman" w:hAnsi="Times New Roman"/>
          <w:sz w:val="24"/>
        </w:rPr>
        <w:t xml:space="preserve">• </w:t>
      </w:r>
      <w:r>
        <w:rPr>
          <w:rFonts w:ascii="Times New Roman" w:hAnsi="Times New Roman"/>
          <w:b/>
          <w:sz w:val="24"/>
        </w:rPr>
        <w:t>Timeline:</w:t>
      </w:r>
      <w:r>
        <w:rPr>
          <w:rFonts w:ascii="Times New Roman" w:hAnsi="Times New Roman"/>
          <w:sz w:val="24"/>
        </w:rPr>
        <w:t xml:space="preserve"> 4-6 months from discovery to cutover</w:t>
      </w:r>
    </w:p>
    <w:p>
      <w:pPr>
        <w:spacing w:after="80"/>
        <w:ind w:left="720" w:hanging="360"/>
      </w:pPr>
      <w:r>
        <w:rPr>
          <w:rFonts w:ascii="Times New Roman" w:hAnsi="Times New Roman"/>
          <w:sz w:val="24"/>
        </w:rPr>
        <w:t xml:space="preserve">• </w:t>
      </w:r>
      <w:r>
        <w:rPr>
          <w:rFonts w:ascii="Times New Roman" w:hAnsi="Times New Roman"/>
          <w:b/>
          <w:sz w:val="24"/>
        </w:rPr>
        <w:t>Total Investment:</w:t>
      </w:r>
      <w:r>
        <w:rPr>
          <w:rFonts w:ascii="Times New Roman" w:hAnsi="Times New Roman"/>
          <w:sz w:val="24"/>
        </w:rPr>
        <w:t xml:space="preserve"> $167,448 over 3 years ($139,316 Year 1)</w:t>
      </w:r>
    </w:p>
    <w:p>
      <w:pPr>
        <w:spacing w:after="160"/>
      </w:pPr>
      <w:r>
        <w:rPr>
          <w:rFonts w:ascii="Times New Roman" w:hAnsi="Times New Roman"/>
          <w:b/>
          <w:sz w:val="24"/>
        </w:rPr>
        <w:t>Key Outcomes:</w:t>
      </w:r>
    </w:p>
    <w:p>
      <w:pPr>
        <w:spacing w:after="80"/>
        <w:ind w:left="720" w:hanging="360"/>
      </w:pPr>
      <w:r>
        <w:rPr>
          <w:rFonts w:ascii="Times New Roman" w:hAnsi="Times New Roman"/>
          <w:sz w:val="24"/>
        </w:rPr>
        <w:t xml:space="preserve">• </w:t>
      </w:r>
      <w:r>
        <w:rPr>
          <w:rFonts w:ascii="Times New Roman" w:hAnsi="Times New Roman"/>
          <w:sz w:val="24"/>
        </w:rPr>
        <w:t>Eliminate data center costs for migrated workloads</w:t>
      </w:r>
    </w:p>
    <w:p>
      <w:pPr>
        <w:spacing w:after="80"/>
        <w:ind w:left="720" w:hanging="360"/>
      </w:pPr>
      <w:r>
        <w:rPr>
          <w:rFonts w:ascii="Times New Roman" w:hAnsi="Times New Roman"/>
          <w:sz w:val="24"/>
        </w:rPr>
        <w:t xml:space="preserve">• </w:t>
      </w:r>
      <w:r>
        <w:rPr>
          <w:rFonts w:ascii="Times New Roman" w:hAnsi="Times New Roman"/>
          <w:sz w:val="24"/>
        </w:rPr>
        <w:t>61% cost reduction vs. keeping on-premise</w:t>
      </w:r>
    </w:p>
    <w:p>
      <w:pPr>
        <w:spacing w:after="80"/>
        <w:ind w:left="720" w:hanging="360"/>
      </w:pPr>
      <w:r>
        <w:rPr>
          <w:rFonts w:ascii="Times New Roman" w:hAnsi="Times New Roman"/>
          <w:sz w:val="24"/>
        </w:rPr>
        <w:t xml:space="preserve">• </w:t>
      </w:r>
      <w:r>
        <w:rPr>
          <w:rFonts w:ascii="Times New Roman" w:hAnsi="Times New Roman"/>
          <w:sz w:val="24"/>
        </w:rPr>
        <w:t>Cloud scalability and AWS managed services benefits</w:t>
      </w:r>
    </w:p>
    <w:p>
      <w:pPr>
        <w:spacing w:after="80"/>
        <w:ind w:left="720" w:hanging="360"/>
      </w:pPr>
      <w:r>
        <w:rPr>
          <w:rFonts w:ascii="Times New Roman" w:hAnsi="Times New Roman"/>
          <w:sz w:val="24"/>
        </w:rPr>
        <w:t xml:space="preserve">• </w:t>
      </w:r>
      <w:r>
        <w:rPr>
          <w:rFonts w:ascii="Times New Roman" w:hAnsi="Times New Roman"/>
          <w:sz w:val="24"/>
        </w:rPr>
        <w:t>Foundation to expand migration to additional workloads</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 xml:space="preserve">Client currently hosts </w:t>
      </w:r>
      <w:r>
        <w:rPr>
          <w:rFonts w:ascii="Times New Roman" w:hAnsi="Times New Roman"/>
          <w:b/>
          <w:sz w:val="24"/>
        </w:rPr>
        <w:t>[#] applications</w:t>
      </w:r>
      <w:r>
        <w:rPr>
          <w:rFonts w:ascii="Times New Roman" w:hAnsi="Times New Roman"/>
          <w:sz w:val="24"/>
        </w:rPr>
        <w:t xml:space="preserve"> on </w:t>
      </w:r>
      <w:r>
        <w:rPr>
          <w:rFonts w:ascii="Times New Roman" w:hAnsi="Times New Roman"/>
          <w:b/>
          <w:sz w:val="24"/>
        </w:rPr>
        <w:t>[VMware/Hyper-V/Physical servers]</w:t>
      </w:r>
      <w:r>
        <w:rPr>
          <w:rFonts w:ascii="Times New Roman" w:hAnsi="Times New Roman"/>
          <w:sz w:val="24"/>
        </w:rPr>
        <w:t xml:space="preserve"> across </w:t>
      </w:r>
      <w:r>
        <w:rPr>
          <w:rFonts w:ascii="Times New Roman" w:hAnsi="Times New Roman"/>
          <w:b/>
          <w:sz w:val="24"/>
        </w:rPr>
        <w:t>[#] environments</w:t>
      </w:r>
      <w:r>
        <w:rPr>
          <w:rFonts w:ascii="Times New Roman" w:hAnsi="Times New Roman"/>
          <w:sz w:val="24"/>
        </w:rPr>
        <w:t>. Challenges include:</w:t>
      </w:r>
    </w:p>
    <w:p>
      <w:pPr>
        <w:spacing w:after="80"/>
        <w:ind w:left="720" w:hanging="360"/>
      </w:pPr>
      <w:r>
        <w:rPr>
          <w:rFonts w:ascii="Times New Roman" w:hAnsi="Times New Roman"/>
          <w:sz w:val="24"/>
        </w:rPr>
        <w:t xml:space="preserve">• </w:t>
      </w:r>
      <w:r>
        <w:rPr>
          <w:rFonts w:ascii="Times New Roman" w:hAnsi="Times New Roman"/>
          <w:sz w:val="24"/>
        </w:rPr>
        <w:t>[e.g., scaling]</w:t>
      </w:r>
    </w:p>
    <w:p>
      <w:pPr>
        <w:spacing w:after="80"/>
        <w:ind w:left="720" w:hanging="360"/>
      </w:pPr>
      <w:r>
        <w:rPr>
          <w:rFonts w:ascii="Times New Roman" w:hAnsi="Times New Roman"/>
          <w:sz w:val="24"/>
        </w:rPr>
        <w:t xml:space="preserve">• </w:t>
      </w:r>
      <w:r>
        <w:rPr>
          <w:rFonts w:ascii="Times New Roman" w:hAnsi="Times New Roman"/>
          <w:sz w:val="24"/>
        </w:rPr>
        <w:t>[e.g., end-of-life hardware]</w:t>
      </w:r>
    </w:p>
    <w:p>
      <w:pPr>
        <w:spacing w:after="80"/>
        <w:ind w:left="720" w:hanging="360"/>
      </w:pPr>
      <w:r>
        <w:rPr>
          <w:rFonts w:ascii="Times New Roman" w:hAnsi="Times New Roman"/>
          <w:sz w:val="24"/>
        </w:rPr>
        <w:t xml:space="preserve">• </w:t>
      </w:r>
      <w:r>
        <w:rPr>
          <w:rFonts w:ascii="Times New Roman" w:hAnsi="Times New Roman"/>
          <w:sz w:val="24"/>
        </w:rPr>
        <w:t>[e.g., data center contract expiration]</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 xml:space="preserve">Migrate </w:t>
      </w:r>
      <w:r>
        <w:rPr>
          <w:rFonts w:ascii="Times New Roman" w:hAnsi="Times New Roman"/>
          <w:b/>
          <w:sz w:val="24"/>
        </w:rPr>
        <w:t>[#] workloads</w:t>
      </w:r>
      <w:r>
        <w:rPr>
          <w:rFonts w:ascii="Times New Roman" w:hAnsi="Times New Roman"/>
          <w:sz w:val="24"/>
        </w:rPr>
        <w:t xml:space="preserve"> to AWS using proven tooling such as AWS MGN and DMS.</w:t>
      </w:r>
    </w:p>
    <w:p>
      <w:pPr>
        <w:spacing w:after="80"/>
        <w:ind w:left="720" w:hanging="360"/>
      </w:pPr>
      <w:r>
        <w:rPr>
          <w:rFonts w:ascii="Times New Roman" w:hAnsi="Times New Roman"/>
          <w:sz w:val="24"/>
        </w:rPr>
        <w:t xml:space="preserve">• </w:t>
      </w:r>
      <w:r>
        <w:rPr>
          <w:rFonts w:ascii="Times New Roman" w:hAnsi="Times New Roman"/>
          <w:sz w:val="24"/>
        </w:rPr>
        <w:t>Improve security posture using VPC segmentation, IAM controls, GuardDuty, etc.</w:t>
      </w:r>
    </w:p>
    <w:p>
      <w:pPr>
        <w:spacing w:after="80"/>
        <w:ind w:left="720" w:hanging="360"/>
      </w:pPr>
      <w:r>
        <w:rPr>
          <w:rFonts w:ascii="Times New Roman" w:hAnsi="Times New Roman"/>
          <w:sz w:val="24"/>
        </w:rPr>
        <w:t xml:space="preserve">• </w:t>
      </w:r>
      <w:r>
        <w:rPr>
          <w:rFonts w:ascii="Times New Roman" w:hAnsi="Times New Roman"/>
          <w:sz w:val="24"/>
        </w:rPr>
        <w:t>Reduce TCO by leveraging managed services (e.g., RDS, ECS Fargate).</w:t>
      </w:r>
    </w:p>
    <w:p>
      <w:pPr>
        <w:spacing w:after="80"/>
        <w:ind w:left="720" w:hanging="360"/>
      </w:pPr>
      <w:r>
        <w:rPr>
          <w:rFonts w:ascii="Times New Roman" w:hAnsi="Times New Roman"/>
          <w:sz w:val="24"/>
        </w:rPr>
        <w:t xml:space="preserve">• </w:t>
      </w:r>
      <w:r>
        <w:rPr>
          <w:rFonts w:ascii="Times New Roman" w:hAnsi="Times New Roman"/>
          <w:sz w:val="24"/>
        </w:rPr>
        <w:t>Enable DR across AZs or regions where applicable.</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Zero high-severity issues during cutover</w:t>
      </w:r>
    </w:p>
    <w:p>
      <w:pPr>
        <w:spacing w:after="80"/>
        <w:ind w:left="720" w:hanging="360"/>
      </w:pPr>
      <w:r>
        <w:rPr>
          <w:rFonts w:ascii="Times New Roman" w:hAnsi="Times New Roman"/>
          <w:sz w:val="24"/>
        </w:rPr>
        <w:t xml:space="preserve">• </w:t>
      </w:r>
      <w:r>
        <w:rPr>
          <w:rFonts w:ascii="Times New Roman" w:hAnsi="Times New Roman"/>
          <w:sz w:val="24"/>
        </w:rPr>
        <w:t>App latency &lt; [X ms] post-migration</w:t>
      </w:r>
    </w:p>
    <w:p>
      <w:pPr>
        <w:spacing w:after="80"/>
        <w:ind w:left="720" w:hanging="360"/>
      </w:pPr>
      <w:r>
        <w:rPr>
          <w:rFonts w:ascii="Times New Roman" w:hAnsi="Times New Roman"/>
          <w:sz w:val="24"/>
        </w:rPr>
        <w:t xml:space="preserve">• </w:t>
      </w:r>
      <w:r>
        <w:rPr>
          <w:rFonts w:ascii="Times New Roman" w:hAnsi="Times New Roman"/>
          <w:sz w:val="24"/>
        </w:rPr>
        <w:t>99.9% uptime during the stabilization period</w:t>
      </w:r>
    </w:p>
    <w:p>
      <w:pPr>
        <w:spacing w:after="80"/>
        <w:ind w:left="720" w:hanging="360"/>
      </w:pPr>
      <w:r>
        <w:rPr>
          <w:rFonts w:ascii="Times New Roman" w:hAnsi="Times New Roman"/>
          <w:sz w:val="24"/>
        </w:rPr>
        <w:t xml:space="preserve">• </w:t>
      </w:r>
      <w:r>
        <w:rPr>
          <w:rFonts w:ascii="Times New Roman" w:hAnsi="Times New Roman"/>
          <w:sz w:val="24"/>
        </w:rPr>
        <w:t>20–35% cost reduction vs. on-prem within 12 months</w:t>
      </w:r>
    </w:p>
    <w:p>
      <w:pPr>
        <w:pStyle w:val="Heading1"/>
        <w:spacing w:before="16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Workload discovery &amp; dependency analysis (via AWS Application Discovery Service)</w:t>
      </w:r>
    </w:p>
    <w:p>
      <w:pPr>
        <w:spacing w:after="80"/>
        <w:ind w:left="720" w:hanging="360"/>
      </w:pPr>
      <w:r>
        <w:rPr>
          <w:rFonts w:ascii="Times New Roman" w:hAnsi="Times New Roman"/>
          <w:sz w:val="24"/>
        </w:rPr>
        <w:t xml:space="preserve">• </w:t>
      </w:r>
      <w:r>
        <w:rPr>
          <w:rFonts w:ascii="Times New Roman" w:hAnsi="Times New Roman"/>
          <w:sz w:val="24"/>
        </w:rPr>
        <w:t>AWS Landing Zone deployment (Control Tower or Terraform)</w:t>
      </w:r>
    </w:p>
    <w:p>
      <w:pPr>
        <w:spacing w:after="80"/>
        <w:ind w:left="720" w:hanging="360"/>
      </w:pPr>
      <w:r>
        <w:rPr>
          <w:rFonts w:ascii="Times New Roman" w:hAnsi="Times New Roman"/>
          <w:sz w:val="24"/>
        </w:rPr>
        <w:t xml:space="preserve">• </w:t>
      </w:r>
      <w:r>
        <w:rPr>
          <w:rFonts w:ascii="Times New Roman" w:hAnsi="Times New Roman"/>
          <w:sz w:val="24"/>
        </w:rPr>
        <w:t>VPC, subnet, routing, and shared services setup</w:t>
      </w:r>
    </w:p>
    <w:p>
      <w:pPr>
        <w:spacing w:after="80"/>
        <w:ind w:left="720" w:hanging="360"/>
      </w:pPr>
      <w:r>
        <w:rPr>
          <w:rFonts w:ascii="Times New Roman" w:hAnsi="Times New Roman"/>
          <w:sz w:val="24"/>
        </w:rPr>
        <w:t xml:space="preserve">• </w:t>
      </w:r>
      <w:r>
        <w:rPr>
          <w:rFonts w:ascii="Times New Roman" w:hAnsi="Times New Roman"/>
          <w:sz w:val="24"/>
        </w:rPr>
        <w:t>Workload migration using AWS MGN / CloudEndure</w:t>
      </w:r>
    </w:p>
    <w:p>
      <w:pPr>
        <w:spacing w:after="80"/>
        <w:ind w:left="720" w:hanging="360"/>
      </w:pPr>
      <w:r>
        <w:rPr>
          <w:rFonts w:ascii="Times New Roman" w:hAnsi="Times New Roman"/>
          <w:sz w:val="24"/>
        </w:rPr>
        <w:t xml:space="preserve">• </w:t>
      </w:r>
      <w:r>
        <w:rPr>
          <w:rFonts w:ascii="Times New Roman" w:hAnsi="Times New Roman"/>
          <w:sz w:val="24"/>
        </w:rPr>
        <w:t>RDS migration (if part of replatform strategy)</w:t>
      </w:r>
    </w:p>
    <w:p>
      <w:pPr>
        <w:spacing w:after="80"/>
        <w:ind w:left="720" w:hanging="360"/>
      </w:pPr>
      <w:r>
        <w:rPr>
          <w:rFonts w:ascii="Times New Roman" w:hAnsi="Times New Roman"/>
          <w:sz w:val="24"/>
        </w:rPr>
        <w:t xml:space="preserve">• </w:t>
      </w:r>
      <w:r>
        <w:rPr>
          <w:rFonts w:ascii="Times New Roman" w:hAnsi="Times New Roman"/>
          <w:sz w:val="24"/>
        </w:rPr>
        <w:t>Cutover, DNS updates, and validation</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3"/>
        <w:spacing w:before="160" w:after="120"/>
        <w:ind w:left="0" w:firstLine="0"/>
      </w:pPr>
      <w:r>
        <w:t>3.2 Activities</w:t>
      </w:r>
    </w:p>
    <w:p>
      <w:pPr>
        <w:pStyle w:val="Heading3"/>
        <w:spacing w:before="160" w:after="120"/>
        <w:ind w:left="0" w:firstLine="0"/>
      </w:pPr>
      <w:r>
        <w:t>3.3 Phase 1 – Discovery &amp; Assessment</w:t>
      </w:r>
    </w:p>
    <w:p>
      <w:pPr>
        <w:spacing w:after="160"/>
      </w:pPr>
      <w:r>
        <w:rPr>
          <w:rFonts w:ascii="Times New Roman" w:hAnsi="Times New Roman"/>
          <w:sz w:val="24"/>
        </w:rPr>
        <w:t>During this initial phase, the Vendor will perform a comprehensive assessment of the Client’s infrastructure and application landscape. This includes analyzing existing workloads, identifying dependencies, and determining the most appropriate migration strategy for each workload.</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infrastructure discovery and inventory</w:t>
      </w:r>
    </w:p>
    <w:p>
      <w:pPr>
        <w:spacing w:after="80"/>
        <w:ind w:left="720" w:hanging="360"/>
      </w:pPr>
      <w:r>
        <w:rPr>
          <w:rFonts w:ascii="Times New Roman" w:hAnsi="Times New Roman"/>
          <w:sz w:val="24"/>
        </w:rPr>
        <w:t xml:space="preserve">• </w:t>
      </w:r>
      <w:r>
        <w:rPr>
          <w:rFonts w:ascii="Times New Roman" w:hAnsi="Times New Roman"/>
          <w:sz w:val="24"/>
        </w:rPr>
        <w:t>Application portfolio analysis and dependency mapping</w:t>
      </w:r>
    </w:p>
    <w:p>
      <w:pPr>
        <w:spacing w:after="80"/>
        <w:ind w:left="720" w:hanging="360"/>
      </w:pPr>
      <w:r>
        <w:rPr>
          <w:rFonts w:ascii="Times New Roman" w:hAnsi="Times New Roman"/>
          <w:sz w:val="24"/>
        </w:rPr>
        <w:t xml:space="preserve">• </w:t>
      </w:r>
      <w:r>
        <w:rPr>
          <w:rFonts w:ascii="Times New Roman" w:hAnsi="Times New Roman"/>
          <w:sz w:val="24"/>
        </w:rPr>
        <w:t>Migration readiness assessment using AWS MAP framework</w:t>
      </w:r>
    </w:p>
    <w:p>
      <w:pPr>
        <w:spacing w:after="80"/>
        <w:ind w:left="720" w:hanging="360"/>
      </w:pPr>
      <w:r>
        <w:rPr>
          <w:rFonts w:ascii="Times New Roman" w:hAnsi="Times New Roman"/>
          <w:sz w:val="24"/>
        </w:rPr>
        <w:t xml:space="preserve">• </w:t>
      </w:r>
      <w:r>
        <w:rPr>
          <w:rFonts w:ascii="Times New Roman" w:hAnsi="Times New Roman"/>
          <w:sz w:val="24"/>
        </w:rPr>
        <w:t>AWS architecture design and landing zone planning</w:t>
      </w:r>
    </w:p>
    <w:p>
      <w:pPr>
        <w:spacing w:after="80"/>
        <w:ind w:left="720" w:hanging="360"/>
      </w:pPr>
      <w:r>
        <w:rPr>
          <w:rFonts w:ascii="Times New Roman" w:hAnsi="Times New Roman"/>
          <w:sz w:val="24"/>
        </w:rPr>
        <w:t xml:space="preserve">• </w:t>
      </w:r>
      <w:r>
        <w:rPr>
          <w:rFonts w:ascii="Times New Roman" w:hAnsi="Times New Roman"/>
          <w:sz w:val="24"/>
        </w:rPr>
        <w:t>Migration wave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right-sizing recommendations</w:t>
      </w:r>
    </w:p>
    <w:p>
      <w:pPr>
        <w:spacing w:after="160"/>
      </w:pPr>
      <w:r>
        <w:rPr>
          <w:rFonts w:ascii="Times New Roman" w:hAnsi="Times New Roman"/>
          <w:sz w:val="24"/>
        </w:rPr>
        <w:t>This phase concludes with a Migration Assessment Report that outlines the proposed plan, scope, risks, and timeline.</w:t>
      </w:r>
    </w:p>
    <w:p>
      <w:pPr>
        <w:pStyle w:val="Heading3"/>
        <w:spacing w:before="160" w:after="120"/>
        <w:ind w:left="0" w:firstLine="0"/>
      </w:pPr>
      <w:r>
        <w:t>3.4 Phase 2 – Landing Zone &amp; Infrastructure Deployment</w:t>
      </w:r>
    </w:p>
    <w:p>
      <w:pPr>
        <w:spacing w:after="160"/>
      </w:pPr>
      <w:r>
        <w:rPr>
          <w:rFonts w:ascii="Times New Roman" w:hAnsi="Times New Roman"/>
          <w:sz w:val="24"/>
        </w:rPr>
        <w:t>In this phase, the foundational AWS infrastructure is provisioned and configured based on AWS best practices. This includes account structure, network setup,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AWS Landing Zone implementation with account provisioning</w:t>
      </w:r>
    </w:p>
    <w:p>
      <w:pPr>
        <w:spacing w:after="80"/>
        <w:ind w:left="720" w:hanging="360"/>
      </w:pPr>
      <w:r>
        <w:rPr>
          <w:rFonts w:ascii="Times New Roman" w:hAnsi="Times New Roman"/>
          <w:sz w:val="24"/>
        </w:rPr>
        <w:t xml:space="preserve">• </w:t>
      </w:r>
      <w:r>
        <w:rPr>
          <w:rFonts w:ascii="Times New Roman" w:hAnsi="Times New Roman"/>
          <w:sz w:val="24"/>
        </w:rPr>
        <w:t>Network connectivity setup using VPN or Direct Connect</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via CloudWatch, CloudTrail, and security services</w:t>
      </w:r>
    </w:p>
    <w:p>
      <w:pPr>
        <w:spacing w:after="80"/>
        <w:ind w:left="720" w:hanging="360"/>
      </w:pPr>
      <w:r>
        <w:rPr>
          <w:rFonts w:ascii="Times New Roman" w:hAnsi="Times New Roman"/>
          <w:sz w:val="24"/>
        </w:rPr>
        <w:t xml:space="preserve">• </w:t>
      </w:r>
      <w:r>
        <w:rPr>
          <w:rFonts w:ascii="Times New Roman" w:hAnsi="Times New Roman"/>
          <w:sz w:val="24"/>
        </w:rPr>
        <w:t>IAM roles, SSO, MFA policies based on least-privilege model</w:t>
      </w:r>
    </w:p>
    <w:p>
      <w:pPr>
        <w:spacing w:after="80"/>
        <w:ind w:left="720" w:hanging="360"/>
      </w:pPr>
      <w:r>
        <w:rPr>
          <w:rFonts w:ascii="Times New Roman" w:hAnsi="Times New Roman"/>
          <w:sz w:val="24"/>
        </w:rPr>
        <w:t xml:space="preserve">• </w:t>
      </w:r>
      <w:r>
        <w:rPr>
          <w:rFonts w:ascii="Times New Roman" w:hAnsi="Times New Roman"/>
          <w:sz w:val="24"/>
        </w:rPr>
        <w:t>Baseline security configuration using AWS Config, GuardDuty, and SCPs</w:t>
      </w:r>
    </w:p>
    <w:p>
      <w:pPr>
        <w:spacing w:after="80"/>
        <w:ind w:left="720" w:hanging="360"/>
      </w:pPr>
      <w:r>
        <w:rPr>
          <w:rFonts w:ascii="Times New Roman" w:hAnsi="Times New Roman"/>
          <w:sz w:val="24"/>
        </w:rPr>
        <w:t xml:space="preserve">• </w:t>
      </w:r>
      <w:r>
        <w:rPr>
          <w:rFonts w:ascii="Times New Roman" w:hAnsi="Times New Roman"/>
          <w:sz w:val="24"/>
        </w:rPr>
        <w:t>Implementation of automated backup strategies and disaster recovery setup</w:t>
      </w:r>
    </w:p>
    <w:p>
      <w:pPr>
        <w:spacing w:after="160"/>
      </w:pPr>
      <w:r>
        <w:rPr>
          <w:rFonts w:ascii="Times New Roman" w:hAnsi="Times New Roman"/>
          <w:sz w:val="24"/>
        </w:rPr>
        <w:t>By the end of this phase, the Client will have a secure, production-ready AWS environment for hosting migrated workloads.</w:t>
      </w:r>
    </w:p>
    <w:p>
      <w:pPr>
        <w:pStyle w:val="Heading3"/>
        <w:spacing w:before="160" w:after="120"/>
        <w:ind w:left="0" w:firstLine="0"/>
      </w:pPr>
      <w:r>
        <w:t>3.5 Phase 3 – Migration Execution (in waves)</w:t>
      </w:r>
    </w:p>
    <w:p>
      <w:pPr>
        <w:spacing w:after="160"/>
      </w:pPr>
      <w:r>
        <w:rPr>
          <w:rFonts w:ascii="Times New Roman" w:hAnsi="Times New Roman"/>
          <w:sz w:val="24"/>
        </w:rPr>
        <w:t>Migration of workloads will occur in well-defined waves based on business priority and workload complexity. Each wave follows a repeatable factory approach with automated processes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Migration factory setup with CI/CD and automation tooling</w:t>
      </w:r>
    </w:p>
    <w:p>
      <w:pPr>
        <w:spacing w:after="80"/>
        <w:ind w:left="720" w:hanging="360"/>
      </w:pPr>
      <w:r>
        <w:rPr>
          <w:rFonts w:ascii="Times New Roman" w:hAnsi="Times New Roman"/>
          <w:sz w:val="24"/>
        </w:rPr>
        <w:t xml:space="preserve">• </w:t>
      </w:r>
      <w:r>
        <w:rPr>
          <w:rFonts w:ascii="Times New Roman" w:hAnsi="Times New Roman"/>
          <w:sz w:val="24"/>
        </w:rPr>
        <w:t>Database migrations using AWS DMS or native tools (e.g., RMAN, SQL)</w:t>
      </w:r>
    </w:p>
    <w:p>
      <w:pPr>
        <w:spacing w:after="80"/>
        <w:ind w:left="720" w:hanging="360"/>
      </w:pPr>
      <w:r>
        <w:rPr>
          <w:rFonts w:ascii="Times New Roman" w:hAnsi="Times New Roman"/>
          <w:sz w:val="24"/>
        </w:rPr>
        <w:t xml:space="preserve">• </w:t>
      </w:r>
      <w:r>
        <w:rPr>
          <w:rFonts w:ascii="Times New Roman" w:hAnsi="Times New Roman"/>
          <w:sz w:val="24"/>
        </w:rPr>
        <w:t>Application migration via rehost, replatform, or refactor strategies</w:t>
      </w:r>
    </w:p>
    <w:p>
      <w:pPr>
        <w:spacing w:after="80"/>
        <w:ind w:left="720" w:hanging="360"/>
      </w:pPr>
      <w:r>
        <w:rPr>
          <w:rFonts w:ascii="Times New Roman" w:hAnsi="Times New Roman"/>
          <w:sz w:val="24"/>
        </w:rPr>
        <w:t xml:space="preserve">• </w:t>
      </w:r>
      <w:r>
        <w:rPr>
          <w:rFonts w:ascii="Times New Roman" w:hAnsi="Times New Roman"/>
          <w:sz w:val="24"/>
        </w:rPr>
        <w:t>Incremental or real-time data sync between source and target systems</w:t>
      </w:r>
    </w:p>
    <w:p>
      <w:pPr>
        <w:spacing w:after="80"/>
        <w:ind w:left="720" w:hanging="360"/>
      </w:pPr>
      <w:r>
        <w:rPr>
          <w:rFonts w:ascii="Times New Roman" w:hAnsi="Times New Roman"/>
          <w:sz w:val="24"/>
        </w:rPr>
        <w:t xml:space="preserve">• </w:t>
      </w:r>
      <w:r>
        <w:rPr>
          <w:rFonts w:ascii="Times New Roman" w:hAnsi="Times New Roman"/>
          <w:sz w:val="24"/>
        </w:rPr>
        <w:t>DNS updates, endpoint reconfiguration</w:t>
      </w:r>
    </w:p>
    <w:p>
      <w:pPr>
        <w:spacing w:after="80"/>
        <w:ind w:left="720" w:hanging="360"/>
      </w:pPr>
      <w:r>
        <w:rPr>
          <w:rFonts w:ascii="Times New Roman" w:hAnsi="Times New Roman"/>
          <w:sz w:val="24"/>
        </w:rPr>
        <w:t xml:space="preserve">• </w:t>
      </w:r>
      <w:r>
        <w:rPr>
          <w:rFonts w:ascii="Times New Roman" w:hAnsi="Times New Roman"/>
          <w:sz w:val="24"/>
        </w:rPr>
        <w:t>Resource right-sizing and performance optimization</w:t>
      </w:r>
    </w:p>
    <w:p>
      <w:pPr>
        <w:spacing w:after="160"/>
      </w:pPr>
      <w:r>
        <w:rPr>
          <w:rFonts w:ascii="Times New Roman" w:hAnsi="Times New Roman"/>
          <w:sz w:val="24"/>
        </w:rPr>
        <w:t>After each wave, the Vendor will coordinate validation and sign-off with the Client before proceeding.</w:t>
      </w:r>
    </w:p>
    <w:p>
      <w:pPr>
        <w:pStyle w:val="Heading3"/>
        <w:spacing w:before="160" w:after="120"/>
        <w:ind w:left="0" w:firstLine="0"/>
      </w:pPr>
      <w:r>
        <w:t>3.6 Phase 4 – Testing &amp; Cutover</w:t>
      </w:r>
    </w:p>
    <w:p>
      <w:pPr>
        <w:spacing w:after="160"/>
      </w:pPr>
      <w:r>
        <w:rPr>
          <w:rFonts w:ascii="Times New Roman" w:hAnsi="Times New Roman"/>
          <w:sz w:val="24"/>
        </w:rPr>
        <w:t>In the Testing and Cutover phase, migrated workloads undergo thorough functional, performance, and failover validation to ensure they meet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 for each migrated workload</w:t>
      </w:r>
    </w:p>
    <w:p>
      <w:pPr>
        <w:spacing w:after="80"/>
        <w:ind w:left="720" w:hanging="360"/>
      </w:pPr>
      <w:r>
        <w:rPr>
          <w:rFonts w:ascii="Times New Roman" w:hAnsi="Times New Roman"/>
          <w:sz w:val="24"/>
        </w:rPr>
        <w:t xml:space="preserve">• </w:t>
      </w:r>
      <w:r>
        <w:rPr>
          <w:rFonts w:ascii="Times New Roman" w:hAnsi="Times New Roman"/>
          <w:sz w:val="24"/>
        </w:rPr>
        <w:t>Performance benchmarking vs. on-premise baselines</w:t>
      </w:r>
    </w:p>
    <w:p>
      <w:pPr>
        <w:spacing w:after="80"/>
        <w:ind w:left="720" w:hanging="360"/>
      </w:pPr>
      <w:r>
        <w:rPr>
          <w:rFonts w:ascii="Times New Roman" w:hAnsi="Times New Roman"/>
          <w:sz w:val="24"/>
        </w:rPr>
        <w:t xml:space="preserve">• </w:t>
      </w:r>
      <w:r>
        <w:rPr>
          <w:rFonts w:ascii="Times New Roman" w:hAnsi="Times New Roman"/>
          <w:sz w:val="24"/>
        </w:rPr>
        <w:t>Failover and resiliency testing (Multi-AZ, DR)</w:t>
      </w:r>
    </w:p>
    <w:p>
      <w:pPr>
        <w:spacing w:after="80"/>
        <w:ind w:left="720" w:hanging="360"/>
      </w:pPr>
      <w:r>
        <w:rPr>
          <w:rFonts w:ascii="Times New Roman" w:hAnsi="Times New Roman"/>
          <w:sz w:val="24"/>
        </w:rPr>
        <w:t xml:space="preserve">• </w:t>
      </w:r>
      <w:r>
        <w:rPr>
          <w:rFonts w:ascii="Times New Roman" w:hAnsi="Times New Roman"/>
          <w:sz w:val="24"/>
        </w:rPr>
        <w:t>Final synchronization of data (if using DMS)</w:t>
      </w:r>
    </w:p>
    <w:p>
      <w:pPr>
        <w:spacing w:after="80"/>
        <w:ind w:left="720" w:hanging="360"/>
      </w:pPr>
      <w:r>
        <w:rPr>
          <w:rFonts w:ascii="Times New Roman" w:hAnsi="Times New Roman"/>
          <w:sz w:val="24"/>
        </w:rPr>
        <w:t xml:space="preserve">• </w:t>
      </w:r>
      <w:r>
        <w:rPr>
          <w:rFonts w:ascii="Times New Roman" w:hAnsi="Times New Roman"/>
          <w:sz w:val="24"/>
        </w:rPr>
        <w:t>DNS cutover, user acceptance testing (UAT), and 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3.7 Phase 5 – Handover &amp; Post-Migration Support</w:t>
      </w:r>
    </w:p>
    <w:p>
      <w:pPr>
        <w:spacing w:after="160"/>
      </w:pPr>
      <w:r>
        <w:rPr>
          <w:rFonts w:ascii="Times New Roman" w:hAnsi="Times New Roman"/>
          <w:sz w:val="24"/>
        </w:rPr>
        <w:t>Following successful migration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IAM permissions,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Ops and Application teams</w:t>
      </w:r>
    </w:p>
    <w:p>
      <w:pPr>
        <w:spacing w:after="80"/>
        <w:ind w:left="720" w:hanging="360"/>
      </w:pPr>
      <w:r>
        <w:rPr>
          <w:rFonts w:ascii="Times New Roman" w:hAnsi="Times New Roman"/>
          <w:sz w:val="24"/>
        </w:rPr>
        <w:t xml:space="preserve">• </w:t>
      </w:r>
      <w:r>
        <w:rPr>
          <w:rFonts w:ascii="Times New Roman" w:hAnsi="Times New Roman"/>
          <w:sz w:val="24"/>
        </w:rPr>
        <w:t>Cost optimization recommendations (based on AWS Trusted Advisor and Cost Explorer)</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24/7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Application refactoring (code-level changes)</w:t>
      </w:r>
    </w:p>
    <w:p>
      <w:pPr>
        <w:spacing w:after="80"/>
        <w:ind w:left="720" w:hanging="360"/>
      </w:pPr>
      <w:r>
        <w:rPr>
          <w:rFonts w:ascii="Times New Roman" w:hAnsi="Times New Roman"/>
          <w:sz w:val="24"/>
        </w:rPr>
        <w:t xml:space="preserve">• </w:t>
      </w:r>
      <w:r>
        <w:rPr>
          <w:rFonts w:ascii="Times New Roman" w:hAnsi="Times New Roman"/>
          <w:sz w:val="24"/>
        </w:rPr>
        <w:t>On-prem hardware recycling or disposal</w:t>
      </w:r>
    </w:p>
    <w:p>
      <w:pPr>
        <w:spacing w:after="80"/>
        <w:ind w:left="720" w:hanging="360"/>
      </w:pPr>
      <w:r>
        <w:rPr>
          <w:rFonts w:ascii="Times New Roman" w:hAnsi="Times New Roman"/>
          <w:sz w:val="24"/>
        </w:rPr>
        <w:t xml:space="preserve">• </w:t>
      </w:r>
      <w:r>
        <w:rPr>
          <w:rFonts w:ascii="Times New Roman" w:hAnsi="Times New Roman"/>
          <w:sz w:val="24"/>
        </w:rPr>
        <w:t>Managed services post-migration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Training for non-IT end users</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Migration Assessment Report</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Landing Zone Source Code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IaC/Code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Architect]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Migration Runbook &amp; Cutover Plan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Diagrams &amp; Documentation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 Landing Zone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 Wave 1 App Migration</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SA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Dependency Mapping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Account &amp; Landing Zone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Network Setup (VPC, Routing)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Migration Wave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Database Migration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Application Cutover Execution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IAM &amp; 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Configuration (CW, X-Ray)</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Post-Migration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Roles and Responsibilities (RACI Matrix)</w:t>
      </w:r>
    </w:p>
    <w:p>
      <w:pPr>
        <w:spacing w:after="160"/>
      </w:pPr>
      <w:r>
        <w:rPr>
          <w:rFonts w:ascii="Times New Roman" w:hAnsi="Times New Roman"/>
          <w:sz w:val="24"/>
        </w:rPr>
        <w:t xml:space="preserve">Legend:  </w:t>
        <w:br/>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AWS Architecture &amp; Accounts</w:t>
      </w:r>
    </w:p>
    <w:p>
      <w:pPr>
        <w:pStyle w:val="Heading2"/>
        <w:spacing w:before="240" w:after="120"/>
        <w:ind w:left="0" w:firstLine="0"/>
      </w:pPr>
      <w:r>
        <w:t>8.1 Architecture Overview</w:t>
      </w:r>
    </w:p>
    <w:p>
      <w:pPr>
        <w:spacing w:after="160"/>
      </w:pPr>
      <w:r>
        <w:rPr>
          <w:rFonts w:ascii="Times New Roman" w:hAnsi="Times New Roman"/>
          <w:sz w:val="24"/>
        </w:rPr>
        <w:t>The proposed AWS architecture is designed to provide a secure, scalable, and compliant foundation for current and future workloads. The architecture aligns with AWS best practices, including the Well-Architected Framework, and uses automation where possible to streamline deployment, security, and ongoing operations.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1546617" cy="3657598"/>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 – Multi-account Landing Zone</w:t>
      </w:r>
    </w:p>
    <w:p>
      <w:pPr>
        <w:spacing w:after="160"/>
      </w:pPr>
      <w:r>
        <w:rPr>
          <w:rFonts w:ascii="Times New Roman" w:hAnsi="Times New Roman"/>
          <w:sz w:val="24"/>
        </w:rPr>
        <w:t>The deployment will follow a multi-account architecture using an AWS Landing Zone model. This approach enforces clear separation of environments (e.g., Dev, QA, Prod, Shared Services) and allows for granular SC (Service Control Policies), billing segmentation, and enhanced security boundary enforcement.</w:t>
      </w:r>
    </w:p>
    <w:p>
      <w:pPr>
        <w:spacing w:after="160"/>
      </w:pPr>
      <w:r>
        <w:rPr>
          <w:rFonts w:ascii="Times New Roman" w:hAnsi="Times New Roman"/>
          <w:sz w:val="24"/>
        </w:rPr>
        <w:t>Landing zone setup includes:</w:t>
      </w:r>
    </w:p>
    <w:p>
      <w:pPr>
        <w:spacing w:after="80"/>
        <w:ind w:left="720" w:hanging="360"/>
      </w:pPr>
      <w:r>
        <w:rPr>
          <w:rFonts w:ascii="Times New Roman" w:hAnsi="Times New Roman"/>
          <w:sz w:val="24"/>
        </w:rPr>
        <w:t xml:space="preserve">• </w:t>
      </w:r>
      <w:r>
        <w:rPr>
          <w:rFonts w:ascii="Times New Roman" w:hAnsi="Times New Roman"/>
          <w:sz w:val="24"/>
        </w:rPr>
        <w:t>AWS Organizations with consolidated billing and root management account</w:t>
      </w:r>
    </w:p>
    <w:p>
      <w:pPr>
        <w:spacing w:after="80"/>
        <w:ind w:left="720" w:hanging="360"/>
      </w:pPr>
      <w:r>
        <w:rPr>
          <w:rFonts w:ascii="Times New Roman" w:hAnsi="Times New Roman"/>
          <w:sz w:val="24"/>
        </w:rPr>
        <w:t xml:space="preserve">• </w:t>
      </w:r>
      <w:r>
        <w:rPr>
          <w:rFonts w:ascii="Times New Roman" w:hAnsi="Times New Roman"/>
          <w:sz w:val="24"/>
        </w:rPr>
        <w:t>Standardized baseline policies (SCPs, Guardrails)</w:t>
      </w:r>
    </w:p>
    <w:p>
      <w:pPr>
        <w:spacing w:after="80"/>
        <w:ind w:left="720" w:hanging="360"/>
      </w:pPr>
      <w:r>
        <w:rPr>
          <w:rFonts w:ascii="Times New Roman" w:hAnsi="Times New Roman"/>
          <w:sz w:val="24"/>
        </w:rPr>
        <w:t xml:space="preserve">• </w:t>
      </w:r>
      <w:r>
        <w:rPr>
          <w:rFonts w:ascii="Times New Roman" w:hAnsi="Times New Roman"/>
          <w:sz w:val="24"/>
        </w:rPr>
        <w:t>Account vending and configuration via AWS Control Tower or custom Terraform modules</w:t>
      </w:r>
    </w:p>
    <w:p>
      <w:pPr>
        <w:spacing w:after="160"/>
      </w:pPr>
      <w:r>
        <w:rPr>
          <w:rFonts w:ascii="Times New Roman" w:hAnsi="Times New Roman"/>
          <w:sz w:val="24"/>
        </w:rPr>
        <w:t>This design enables future scaling with centralized governance, improving isolation and reducing blast radius.</w:t>
      </w:r>
    </w:p>
    <w:p>
      <w:pPr>
        <w:pStyle w:val="Heading2"/>
        <w:spacing w:before="240" w:after="120"/>
        <w:ind w:left="0" w:firstLine="0"/>
      </w:pPr>
      <w:r>
        <w:t>8.3 Application Hosting</w:t>
      </w:r>
    </w:p>
    <w:p>
      <w:pPr>
        <w:spacing w:after="160"/>
      </w:pPr>
      <w:r>
        <w:rPr>
          <w:rFonts w:ascii="Times New Roman" w:hAnsi="Times New Roman"/>
          <w:sz w:val="24"/>
        </w:rPr>
        <w:t>Depending on the workload pattern and migration strategy, applications will be hosted using best-fit AWS compute options:</w:t>
      </w:r>
    </w:p>
    <w:p>
      <w:pPr>
        <w:spacing w:after="80"/>
        <w:ind w:left="720" w:hanging="360"/>
      </w:pPr>
      <w:r>
        <w:rPr>
          <w:rFonts w:ascii="Times New Roman" w:hAnsi="Times New Roman"/>
          <w:sz w:val="24"/>
        </w:rPr>
        <w:t xml:space="preserve">• </w:t>
      </w:r>
      <w:r>
        <w:rPr>
          <w:rFonts w:ascii="Times New Roman" w:hAnsi="Times New Roman"/>
          <w:b/>
          <w:sz w:val="24"/>
        </w:rPr>
        <w:t>EC2 (Elastic Compute Cloud)</w:t>
      </w:r>
      <w:r>
        <w:rPr>
          <w:rFonts w:ascii="Times New Roman" w:hAnsi="Times New Roman"/>
          <w:sz w:val="24"/>
        </w:rPr>
        <w:t xml:space="preserve"> for rehosted VMs or applications requiring custom OS-level control</w:t>
      </w:r>
    </w:p>
    <w:p>
      <w:pPr>
        <w:spacing w:after="80"/>
        <w:ind w:left="720" w:hanging="360"/>
      </w:pPr>
      <w:r>
        <w:rPr>
          <w:rFonts w:ascii="Times New Roman" w:hAnsi="Times New Roman"/>
          <w:sz w:val="24"/>
        </w:rPr>
        <w:t xml:space="preserve">• </w:t>
      </w:r>
      <w:r>
        <w:rPr>
          <w:rFonts w:ascii="Times New Roman" w:hAnsi="Times New Roman"/>
          <w:b/>
          <w:sz w:val="24"/>
        </w:rPr>
        <w:t>ECS or Fargate</w:t>
      </w:r>
      <w:r>
        <w:rPr>
          <w:rFonts w:ascii="Times New Roman" w:hAnsi="Times New Roman"/>
          <w:sz w:val="24"/>
        </w:rPr>
        <w:t xml:space="preserve"> for containerized workloads</w:t>
      </w:r>
    </w:p>
    <w:p>
      <w:pPr>
        <w:spacing w:after="80"/>
        <w:ind w:left="720" w:hanging="360"/>
      </w:pPr>
      <w:r>
        <w:rPr>
          <w:rFonts w:ascii="Times New Roman" w:hAnsi="Times New Roman"/>
          <w:sz w:val="24"/>
        </w:rPr>
        <w:t xml:space="preserve">• </w:t>
      </w:r>
      <w:r>
        <w:rPr>
          <w:rFonts w:ascii="Times New Roman" w:hAnsi="Times New Roman"/>
          <w:b/>
          <w:sz w:val="24"/>
        </w:rPr>
        <w:t>Lambda</w:t>
      </w:r>
      <w:r>
        <w:rPr>
          <w:rFonts w:ascii="Times New Roman" w:hAnsi="Times New Roman"/>
          <w:sz w:val="24"/>
        </w:rPr>
        <w:t xml:space="preserve"> for serverless or event-driven workloads</w:t>
      </w:r>
    </w:p>
    <w:p>
      <w:pPr>
        <w:spacing w:after="160"/>
      </w:pPr>
      <w:r>
        <w:rPr>
          <w:rFonts w:ascii="Times New Roman" w:hAnsi="Times New Roman"/>
          <w:sz w:val="24"/>
        </w:rPr>
        <w:t>All compute services will be deployed in private subnets for optimal security and managed using infrastructure-as-code (IaC).</w:t>
      </w:r>
    </w:p>
    <w:p>
      <w:pPr>
        <w:pStyle w:val="Heading2"/>
        <w:spacing w:before="240" w:after="120"/>
        <w:ind w:left="0" w:firstLine="0"/>
      </w:pPr>
      <w:r>
        <w:t>8.4 Networking</w:t>
      </w:r>
    </w:p>
    <w:p>
      <w:pPr>
        <w:spacing w:after="160"/>
      </w:pPr>
      <w:r>
        <w:rPr>
          <w:rFonts w:ascii="Times New Roman" w:hAnsi="Times New Roman"/>
          <w:sz w:val="24"/>
        </w:rPr>
        <w:t>The networking architecture will be implemented using AWS Virtual Private Cloud (VPC) components, adhering to a hub-and-spoke or shared VPC design:</w:t>
      </w:r>
    </w:p>
    <w:p>
      <w:pPr>
        <w:spacing w:after="80"/>
        <w:ind w:left="720" w:hanging="360"/>
      </w:pPr>
      <w:r>
        <w:rPr>
          <w:rFonts w:ascii="Times New Roman" w:hAnsi="Times New Roman"/>
          <w:sz w:val="24"/>
        </w:rPr>
        <w:t xml:space="preserve">• </w:t>
      </w:r>
      <w:r>
        <w:rPr>
          <w:rFonts w:ascii="Times New Roman" w:hAnsi="Times New Roman"/>
          <w:sz w:val="24"/>
        </w:rPr>
        <w:t>VPCs created per environment or workload type</w:t>
      </w:r>
    </w:p>
    <w:p>
      <w:pPr>
        <w:spacing w:after="80"/>
        <w:ind w:left="720" w:hanging="360"/>
      </w:pPr>
      <w:r>
        <w:rPr>
          <w:rFonts w:ascii="Times New Roman" w:hAnsi="Times New Roman"/>
          <w:sz w:val="24"/>
        </w:rPr>
        <w:t xml:space="preserve">• </w:t>
      </w:r>
      <w:r>
        <w:rPr>
          <w:rFonts w:ascii="Times New Roman" w:hAnsi="Times New Roman"/>
          <w:sz w:val="24"/>
        </w:rPr>
        <w:t>Subnets segmented by tier (web, app, data) across multiple Availability Zones (AZs)</w:t>
      </w:r>
    </w:p>
    <w:p>
      <w:pPr>
        <w:spacing w:after="80"/>
        <w:ind w:left="720" w:hanging="360"/>
      </w:pPr>
      <w:r>
        <w:rPr>
          <w:rFonts w:ascii="Times New Roman" w:hAnsi="Times New Roman"/>
          <w:sz w:val="24"/>
        </w:rPr>
        <w:t xml:space="preserve">• </w:t>
      </w:r>
      <w:r>
        <w:rPr>
          <w:rFonts w:ascii="Times New Roman" w:hAnsi="Times New Roman"/>
          <w:sz w:val="24"/>
        </w:rPr>
        <w:t>Routing configured via route tables and NAT gateways</w:t>
      </w:r>
    </w:p>
    <w:p>
      <w:pPr>
        <w:spacing w:after="80"/>
        <w:ind w:left="720" w:hanging="360"/>
      </w:pPr>
      <w:r>
        <w:rPr>
          <w:rFonts w:ascii="Times New Roman" w:hAnsi="Times New Roman"/>
          <w:sz w:val="24"/>
        </w:rPr>
        <w:t xml:space="preserve">• </w:t>
      </w:r>
      <w:r>
        <w:rPr>
          <w:rFonts w:ascii="Times New Roman" w:hAnsi="Times New Roman"/>
          <w:sz w:val="24"/>
        </w:rPr>
        <w:t>Transit Gateway (TGW) or VPC peering used for inter-VPC communication</w:t>
      </w:r>
    </w:p>
    <w:p>
      <w:pPr>
        <w:spacing w:after="80"/>
        <w:ind w:left="720" w:hanging="360"/>
      </w:pPr>
      <w:r>
        <w:rPr>
          <w:rFonts w:ascii="Times New Roman" w:hAnsi="Times New Roman"/>
          <w:sz w:val="24"/>
        </w:rPr>
        <w:t xml:space="preserve">• </w:t>
      </w:r>
      <w:r>
        <w:rPr>
          <w:rFonts w:ascii="Times New Roman" w:hAnsi="Times New Roman"/>
          <w:sz w:val="24"/>
        </w:rPr>
        <w:t>Hybrid connectivity via AWS VPN or Direct Connect (DX), enabling integration with on-prem systems</w:t>
      </w:r>
    </w:p>
    <w:p>
      <w:pPr>
        <w:pStyle w:val="Heading2"/>
        <w:spacing w:before="240" w:after="120"/>
        <w:ind w:left="0" w:firstLine="0"/>
      </w:pPr>
      <w:r>
        <w:t>8.5 Observability</w:t>
      </w:r>
    </w:p>
    <w:p>
      <w:pPr>
        <w:spacing w:after="160"/>
      </w:pPr>
      <w:r>
        <w:rPr>
          <w:rFonts w:ascii="Times New Roman" w:hAnsi="Times New Roman"/>
          <w:sz w:val="24"/>
        </w:rPr>
        <w:t>A centralized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b/>
          <w:sz w:val="24"/>
        </w:rPr>
        <w:t>CloudWatch</w:t>
      </w:r>
      <w:r>
        <w:rPr>
          <w:rFonts w:ascii="Times New Roman" w:hAnsi="Times New Roman"/>
          <w:sz w:val="24"/>
        </w:rPr>
        <w:t xml:space="preserve"> Logs and Metrics</w:t>
      </w:r>
    </w:p>
    <w:p>
      <w:pPr>
        <w:spacing w:after="80"/>
        <w:ind w:left="720" w:hanging="360"/>
      </w:pPr>
      <w:r>
        <w:rPr>
          <w:rFonts w:ascii="Times New Roman" w:hAnsi="Times New Roman"/>
          <w:sz w:val="24"/>
        </w:rPr>
        <w:t xml:space="preserve">• </w:t>
      </w:r>
      <w:r>
        <w:rPr>
          <w:rFonts w:ascii="Times New Roman" w:hAnsi="Times New Roman"/>
          <w:b/>
          <w:sz w:val="24"/>
        </w:rPr>
        <w:t>X-Ray</w:t>
      </w:r>
      <w:r>
        <w:rPr>
          <w:rFonts w:ascii="Times New Roman" w:hAnsi="Times New Roman"/>
          <w:sz w:val="24"/>
        </w:rPr>
        <w:t xml:space="preserve"> for application tracing</w:t>
      </w:r>
    </w:p>
    <w:p>
      <w:pPr>
        <w:spacing w:after="80"/>
        <w:ind w:left="720" w:hanging="360"/>
      </w:pPr>
      <w:r>
        <w:rPr>
          <w:rFonts w:ascii="Times New Roman" w:hAnsi="Times New Roman"/>
          <w:sz w:val="24"/>
        </w:rPr>
        <w:t xml:space="preserve">• </w:t>
      </w:r>
      <w:r>
        <w:rPr>
          <w:rFonts w:ascii="Times New Roman" w:hAnsi="Times New Roman"/>
          <w:b/>
          <w:sz w:val="24"/>
        </w:rPr>
        <w:t>GuardDuty</w:t>
      </w:r>
      <w:r>
        <w:rPr>
          <w:rFonts w:ascii="Times New Roman" w:hAnsi="Times New Roman"/>
          <w:sz w:val="24"/>
        </w:rPr>
        <w:t xml:space="preserve"> for threat detection</w:t>
      </w:r>
    </w:p>
    <w:p>
      <w:pPr>
        <w:spacing w:after="80"/>
        <w:ind w:left="720" w:hanging="360"/>
      </w:pPr>
      <w:r>
        <w:rPr>
          <w:rFonts w:ascii="Times New Roman" w:hAnsi="Times New Roman"/>
          <w:sz w:val="24"/>
        </w:rPr>
        <w:t xml:space="preserve">• </w:t>
      </w:r>
      <w:r>
        <w:rPr>
          <w:rFonts w:ascii="Times New Roman" w:hAnsi="Times New Roman"/>
          <w:sz w:val="24"/>
        </w:rPr>
        <w:t>Logs will be aggregated in a central logging account using AWS Organizations practices</w:t>
      </w:r>
    </w:p>
    <w:p>
      <w:pPr>
        <w:pStyle w:val="Heading2"/>
        <w:spacing w:before="24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backups via AWS Backup</w:t>
      </w:r>
    </w:p>
    <w:p>
      <w:pPr>
        <w:spacing w:after="80"/>
        <w:ind w:left="720" w:hanging="360"/>
      </w:pPr>
      <w:r>
        <w:rPr>
          <w:rFonts w:ascii="Times New Roman" w:hAnsi="Times New Roman"/>
          <w:sz w:val="24"/>
        </w:rPr>
        <w:t xml:space="preserve">• </w:t>
      </w:r>
      <w:r>
        <w:rPr>
          <w:rFonts w:ascii="Times New Roman" w:hAnsi="Times New Roman"/>
          <w:sz w:val="24"/>
        </w:rPr>
        <w:t>Cross-AZ replication for high availability</w:t>
      </w:r>
    </w:p>
    <w:p>
      <w:pPr>
        <w:spacing w:after="80"/>
        <w:ind w:left="720" w:hanging="360"/>
      </w:pPr>
      <w:r>
        <w:rPr>
          <w:rFonts w:ascii="Times New Roman" w:hAnsi="Times New Roman"/>
          <w:sz w:val="24"/>
        </w:rPr>
        <w:t xml:space="preserve">• </w:t>
      </w:r>
      <w:r>
        <w:rPr>
          <w:rFonts w:ascii="Times New Roman" w:hAnsi="Times New Roman"/>
          <w:sz w:val="24"/>
        </w:rPr>
        <w:t>Optional cross-region replication for disaster recovery (DR) scenarios</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1"/>
        <w:spacing w:before="16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applications, SMEs, and target systems.</w:t>
      </w:r>
    </w:p>
    <w:p>
      <w:pPr>
        <w:spacing w:after="80"/>
        <w:ind w:left="720" w:hanging="360"/>
      </w:pPr>
      <w:r>
        <w:rPr>
          <w:rFonts w:ascii="Times New Roman" w:hAnsi="Times New Roman"/>
          <w:sz w:val="24"/>
        </w:rPr>
        <w:t xml:space="preserve">• </w:t>
      </w:r>
      <w:r>
        <w:rPr>
          <w:rFonts w:ascii="Times New Roman" w:hAnsi="Times New Roman"/>
          <w:sz w:val="24"/>
        </w:rPr>
        <w:t>IAM roles are provisioned with appropriate permissions before migration waves start.</w:t>
      </w:r>
    </w:p>
    <w:p>
      <w:pPr>
        <w:spacing w:after="80"/>
        <w:ind w:left="720" w:hanging="360"/>
      </w:pPr>
      <w:r>
        <w:rPr>
          <w:rFonts w:ascii="Times New Roman" w:hAnsi="Times New Roman"/>
          <w:sz w:val="24"/>
        </w:rPr>
        <w:t xml:space="preserve">• </w:t>
      </w:r>
      <w:r>
        <w:rPr>
          <w:rFonts w:ascii="Times New Roman" w:hAnsi="Times New Roman"/>
          <w:sz w:val="24"/>
        </w:rPr>
        <w:t>On-prem network connectivity will be handled via DX or VPN.</w:t>
      </w:r>
    </w:p>
    <w:p>
      <w:pPr>
        <w:spacing w:after="80"/>
        <w:ind w:left="720" w:hanging="360"/>
      </w:pPr>
      <w:r>
        <w:rPr>
          <w:rFonts w:ascii="Times New Roman" w:hAnsi="Times New Roman"/>
          <w:sz w:val="24"/>
        </w:rPr>
        <w:t xml:space="preserve">• </w:t>
      </w:r>
      <w:r>
        <w:rPr>
          <w:rFonts w:ascii="Times New Roman" w:hAnsi="Times New Roman"/>
          <w:sz w:val="24"/>
        </w:rPr>
        <w:t>All required AWS accounts are permitted for project use.</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Approval for AWS Organizations setup</w:t>
      </w:r>
    </w:p>
    <w:p>
      <w:pPr>
        <w:spacing w:after="80"/>
        <w:ind w:left="720" w:hanging="360"/>
      </w:pPr>
      <w:r>
        <w:rPr>
          <w:rFonts w:ascii="Times New Roman" w:hAnsi="Times New Roman"/>
          <w:sz w:val="24"/>
        </w:rPr>
        <w:t xml:space="preserve">• </w:t>
      </w:r>
      <w:r>
        <w:rPr>
          <w:rFonts w:ascii="Times New Roman" w:hAnsi="Times New Roman"/>
          <w:sz w:val="24"/>
        </w:rPr>
        <w:t>Third-party application vendor support (if required for migration)</w:t>
      </w:r>
    </w:p>
    <w:p>
      <w:pPr>
        <w:spacing w:after="80"/>
        <w:ind w:left="720" w:hanging="360"/>
      </w:pPr>
      <w:r>
        <w:rPr>
          <w:rFonts w:ascii="Times New Roman" w:hAnsi="Times New Roman"/>
          <w:sz w:val="24"/>
        </w:rPr>
        <w:t xml:space="preserve">• </w:t>
      </w:r>
      <w:r>
        <w:rPr>
          <w:rFonts w:ascii="Times New Roman" w:hAnsi="Times New Roman"/>
          <w:sz w:val="24"/>
        </w:rPr>
        <w:t>DNS access and domain control during cutover</w:t>
      </w:r>
    </w:p>
    <w:p>
      <w:pPr>
        <w:spacing w:after="80"/>
        <w:ind w:left="720" w:hanging="360"/>
      </w:pPr>
      <w:r>
        <w:rPr>
          <w:rFonts w:ascii="Times New Roman" w:hAnsi="Times New Roman"/>
          <w:sz w:val="24"/>
        </w:rPr>
        <w:t xml:space="preserve">• </w:t>
      </w:r>
      <w:r>
        <w:rPr>
          <w:rFonts w:ascii="Times New Roman" w:hAnsi="Times New Roman"/>
          <w:sz w:val="24"/>
        </w:rPr>
        <w:t>Required firewall/NAT rules established prior to migration</w:t>
      </w:r>
    </w:p>
    <w:p>
      <w:pPr>
        <w:pStyle w:val="Heading2"/>
        <w:spacing w:before="240" w:after="120"/>
        <w:ind w:left="0" w:firstLine="0"/>
      </w:pPr>
      <w:r>
        <w:t>10.2 AWS Security, Compliance &amp; Governance</w:t>
      </w:r>
    </w:p>
    <w:p>
      <w:pPr>
        <w:spacing w:after="160"/>
      </w:pPr>
      <w:r>
        <w:rPr>
          <w:rFonts w:ascii="Times New Roman" w:hAnsi="Times New Roman"/>
          <w:sz w:val="24"/>
        </w:rPr>
        <w:t>The migration and target AWS environment will be architected and validated to meet the Client’s security, compliance, and governance requirements. Vendor will adhere to AWS's Shared Responsibility Model and industry-standard security frameworks during implementation.</w:t>
      </w:r>
    </w:p>
    <w:p>
      <w:pPr>
        <w:pStyle w:val="Heading3"/>
        <w:spacing w:before="160" w:after="120"/>
        <w:ind w:left="0" w:firstLine="0"/>
      </w:pPr>
      <w:r>
        <w:t>10.2.1 Identity &amp; Access Management</w:t>
      </w:r>
    </w:p>
    <w:p>
      <w:pPr>
        <w:spacing w:after="80"/>
        <w:ind w:left="720" w:hanging="360"/>
      </w:pPr>
      <w:r>
        <w:rPr>
          <w:rFonts w:ascii="Times New Roman" w:hAnsi="Times New Roman"/>
          <w:sz w:val="24"/>
        </w:rPr>
        <w:t xml:space="preserve">• </w:t>
      </w:r>
      <w:r>
        <w:rPr>
          <w:rFonts w:ascii="Times New Roman" w:hAnsi="Times New Roman"/>
          <w:sz w:val="24"/>
        </w:rPr>
        <w:t>IAM roles designed using least-privilege access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w:t>
      </w:r>
    </w:p>
    <w:p>
      <w:pPr>
        <w:pStyle w:val="Heading3"/>
        <w:spacing w:before="160" w:after="120"/>
        <w:ind w:left="0" w:firstLine="0"/>
      </w:pPr>
      <w:r>
        <w:t>10.2.2 Monitoring &amp; Threat Detection</w:t>
      </w:r>
    </w:p>
    <w:p>
      <w:pPr>
        <w:spacing w:after="80"/>
        <w:ind w:left="720" w:hanging="360"/>
      </w:pPr>
      <w:r>
        <w:rPr>
          <w:rFonts w:ascii="Times New Roman" w:hAnsi="Times New Roman"/>
          <w:sz w:val="24"/>
        </w:rPr>
        <w:t xml:space="preserve">• </w:t>
      </w:r>
      <w:r>
        <w:rPr>
          <w:rFonts w:ascii="Times New Roman" w:hAnsi="Times New Roman"/>
          <w:sz w:val="24"/>
        </w:rPr>
        <w:t>GuardDuty enabled across accounts for real-time threat detection</w:t>
      </w:r>
    </w:p>
    <w:p>
      <w:pPr>
        <w:spacing w:after="80"/>
        <w:ind w:left="720" w:hanging="360"/>
      </w:pPr>
      <w:r>
        <w:rPr>
          <w:rFonts w:ascii="Times New Roman" w:hAnsi="Times New Roman"/>
          <w:sz w:val="24"/>
        </w:rPr>
        <w:t xml:space="preserve">• </w:t>
      </w:r>
      <w:r>
        <w:rPr>
          <w:rFonts w:ascii="Times New Roman" w:hAnsi="Times New Roman"/>
          <w:sz w:val="24"/>
        </w:rPr>
        <w:t>AWS Config and CloudTrail enabled for audit logging and change detection</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like Splunk, Datadog, or ELK</w:t>
      </w:r>
    </w:p>
    <w:p>
      <w:pPr>
        <w:pStyle w:val="Heading3"/>
        <w:spacing w:before="160" w:after="120"/>
        <w:ind w:left="0" w:firstLine="0"/>
      </w:pPr>
      <w:r>
        <w:t>10.2.3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etc.</w:t>
      </w:r>
    </w:p>
    <w:p>
      <w:pPr>
        <w:spacing w:after="80"/>
        <w:ind w:left="720" w:hanging="360"/>
      </w:pPr>
      <w:r>
        <w:rPr>
          <w:rFonts w:ascii="Times New Roman" w:hAnsi="Times New Roman"/>
          <w:sz w:val="24"/>
        </w:rPr>
        <w:t xml:space="preserve">• </w:t>
      </w:r>
      <w:r>
        <w:rPr>
          <w:rFonts w:ascii="Times New Roman" w:hAnsi="Times New Roman"/>
          <w:sz w:val="24"/>
        </w:rPr>
        <w:t>Continuous assessment using Security Hub and Trusted Advisor</w:t>
      </w:r>
    </w:p>
    <w:p>
      <w:pPr>
        <w:spacing w:after="80"/>
        <w:ind w:left="720" w:hanging="360"/>
      </w:pPr>
      <w:r>
        <w:rPr>
          <w:rFonts w:ascii="Times New Roman" w:hAnsi="Times New Roman"/>
          <w:sz w:val="24"/>
        </w:rPr>
        <w:t xml:space="preserve">• </w:t>
      </w:r>
      <w:r>
        <w:rPr>
          <w:rFonts w:ascii="Times New Roman" w:hAnsi="Times New Roman"/>
          <w:sz w:val="24"/>
        </w:rPr>
        <w:t>Optional support for GovCloud for regulatory compliance</w:t>
      </w:r>
    </w:p>
    <w:p>
      <w:pPr>
        <w:pStyle w:val="Heading3"/>
        <w:spacing w:before="160" w:after="120"/>
        <w:ind w:left="0" w:firstLine="0"/>
      </w:pPr>
      <w:r>
        <w:t>10.2.4 Encryption &amp; Key Management</w:t>
      </w:r>
    </w:p>
    <w:p>
      <w:pPr>
        <w:spacing w:after="80"/>
        <w:ind w:left="720" w:hanging="360"/>
      </w:pPr>
      <w:r>
        <w:rPr>
          <w:rFonts w:ascii="Times New Roman" w:hAnsi="Times New Roman"/>
          <w:sz w:val="24"/>
        </w:rPr>
        <w:t xml:space="preserve">• </w:t>
      </w:r>
      <w:r>
        <w:rPr>
          <w:rFonts w:ascii="Times New Roman" w:hAnsi="Times New Roman"/>
          <w:sz w:val="24"/>
        </w:rPr>
        <w:t>KMS-managed keys for in-transit and at-rest encryption</w:t>
      </w:r>
    </w:p>
    <w:p>
      <w:pPr>
        <w:spacing w:after="80"/>
        <w:ind w:left="720" w:hanging="360"/>
      </w:pPr>
      <w:r>
        <w:rPr>
          <w:rFonts w:ascii="Times New Roman" w:hAnsi="Times New Roman"/>
          <w:sz w:val="24"/>
        </w:rPr>
        <w:t xml:space="preserve">• </w:t>
      </w:r>
      <w:r>
        <w:rPr>
          <w:rFonts w:ascii="Times New Roman" w:hAnsi="Times New Roman"/>
          <w:sz w:val="24"/>
        </w:rPr>
        <w:t>Optional BYOK or CloudHSM deployment</w:t>
      </w:r>
    </w:p>
    <w:p>
      <w:pPr>
        <w:spacing w:after="80"/>
        <w:ind w:left="720" w:hanging="360"/>
      </w:pPr>
      <w:r>
        <w:rPr>
          <w:rFonts w:ascii="Times New Roman" w:hAnsi="Times New Roman"/>
          <w:sz w:val="24"/>
        </w:rPr>
        <w:t xml:space="preserve">• </w:t>
      </w:r>
      <w:r>
        <w:rPr>
          <w:rFonts w:ascii="Times New Roman" w:hAnsi="Times New Roman"/>
          <w:sz w:val="24"/>
        </w:rPr>
        <w:t>TLS enforcement for all data channels</w:t>
      </w:r>
    </w:p>
    <w:p>
      <w:pPr>
        <w:pStyle w:val="Heading3"/>
        <w:spacing w:before="160" w:after="120"/>
        <w:ind w:left="0" w:firstLine="0"/>
      </w:pPr>
      <w:r>
        <w:t>10.2.5 Governance</w:t>
      </w:r>
    </w:p>
    <w:p>
      <w:pPr>
        <w:spacing w:after="80"/>
        <w:ind w:left="720" w:hanging="360"/>
      </w:pPr>
      <w:r>
        <w:rPr>
          <w:rFonts w:ascii="Times New Roman" w:hAnsi="Times New Roman"/>
          <w:sz w:val="24"/>
        </w:rPr>
        <w:t xml:space="preserve">• </w:t>
      </w:r>
      <w:r>
        <w:rPr>
          <w:rFonts w:ascii="Times New Roman" w:hAnsi="Times New Roman"/>
          <w:sz w:val="24"/>
        </w:rPr>
        <w:t>Use of Service Control Policies (SCPs) to enforce mandatory security posture</w:t>
      </w:r>
    </w:p>
    <w:p>
      <w:pPr>
        <w:spacing w:after="80"/>
        <w:ind w:left="720" w:hanging="360"/>
      </w:pPr>
      <w:r>
        <w:rPr>
          <w:rFonts w:ascii="Times New Roman" w:hAnsi="Times New Roman"/>
          <w:sz w:val="24"/>
        </w:rPr>
        <w:t xml:space="preserve">• </w:t>
      </w:r>
      <w:r>
        <w:rPr>
          <w:rFonts w:ascii="Times New Roman" w:hAnsi="Times New Roman"/>
          <w:sz w:val="24"/>
        </w:rPr>
        <w:t>AWS tagging strategy applied for cost allocation, ownership, and automation</w:t>
      </w:r>
    </w:p>
    <w:p>
      <w:pPr>
        <w:spacing w:after="80"/>
        <w:ind w:left="720" w:hanging="360"/>
      </w:pPr>
      <w:r>
        <w:rPr>
          <w:rFonts w:ascii="Times New Roman" w:hAnsi="Times New Roman"/>
          <w:sz w:val="24"/>
        </w:rPr>
        <w:t xml:space="preserve">• </w:t>
      </w:r>
      <w:r>
        <w:rPr>
          <w:rFonts w:ascii="Times New Roman" w:hAnsi="Times New Roman"/>
          <w:sz w:val="24"/>
        </w:rPr>
        <w:t>IaC policy enforcement using tools such as Conftest or AWS CodePipeline</w:t>
      </w:r>
    </w:p>
    <w:p>
      <w:pPr>
        <w:pStyle w:val="Heading1"/>
        <w:spacing w:before="160" w:after="120"/>
        <w:ind w:left="0" w:firstLine="0"/>
      </w:pPr>
      <w:r>
        <w:t>11 Environments &amp; Access</w:t>
      </w:r>
    </w:p>
    <w:p>
      <w:pPr>
        <w:pStyle w:val="Heading2"/>
        <w:spacing w:before="240" w:after="120"/>
        <w:ind w:left="0" w:firstLine="0"/>
      </w:pPr>
      <w:r>
        <w:t>11.1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2"/>
        <w:spacing w:before="240" w:after="120"/>
        <w:ind w:left="0" w:firstLine="0"/>
      </w:pPr>
      <w:r>
        <w:t>11.2 Access Policies</w:t>
      </w:r>
    </w:p>
    <w:p>
      <w:pPr>
        <w:spacing w:after="80"/>
        <w:ind w:left="720" w:hanging="360"/>
      </w:pPr>
      <w:r>
        <w:rPr>
          <w:rFonts w:ascii="Times New Roman" w:hAnsi="Times New Roman"/>
          <w:sz w:val="24"/>
        </w:rPr>
        <w:t xml:space="preserve">• </w:t>
      </w:r>
      <w:r>
        <w:rPr>
          <w:rFonts w:ascii="Times New Roman" w:hAnsi="Times New Roman"/>
          <w:sz w:val="24"/>
        </w:rPr>
        <w:t>MFA required</w:t>
      </w:r>
    </w:p>
    <w:p>
      <w:pPr>
        <w:spacing w:after="80"/>
        <w:ind w:left="720" w:hanging="360"/>
      </w:pPr>
      <w:r>
        <w:rPr>
          <w:rFonts w:ascii="Times New Roman" w:hAnsi="Times New Roman"/>
          <w:sz w:val="24"/>
        </w:rPr>
        <w:t xml:space="preserve">• </w:t>
      </w:r>
      <w:r>
        <w:rPr>
          <w:rFonts w:ascii="Times New Roman" w:hAnsi="Times New Roman"/>
          <w:sz w:val="24"/>
        </w:rPr>
        <w:t>SSO federation preferred</w:t>
      </w:r>
    </w:p>
    <w:p>
      <w:pPr>
        <w:spacing w:after="80"/>
        <w:ind w:left="720" w:hanging="360"/>
      </w:pPr>
      <w:r>
        <w:rPr>
          <w:rFonts w:ascii="Times New Roman" w:hAnsi="Times New Roman"/>
          <w:sz w:val="24"/>
        </w:rPr>
        <w:t xml:space="preserve">• </w:t>
      </w:r>
      <w:r>
        <w:rPr>
          <w:rFonts w:ascii="Times New Roman" w:hAnsi="Times New Roman"/>
          <w:sz w:val="24"/>
        </w:rPr>
        <w:t>No direct SSH — use SSM Session Manager</w:t>
      </w:r>
    </w:p>
    <w:p>
      <w:pPr>
        <w:pStyle w:val="Heading1"/>
        <w:spacing w:before="160" w:after="120"/>
        <w:ind w:left="0" w:firstLine="0"/>
      </w:pPr>
      <w:r>
        <w:t>12 Testing &amp; Validation</w:t>
      </w:r>
    </w:p>
    <w:p>
      <w:pPr>
        <w:spacing w:after="160"/>
      </w:pPr>
      <w:r>
        <w:rPr>
          <w:rFonts w:ascii="Times New Roman" w:hAnsi="Times New Roman"/>
          <w:sz w:val="24"/>
        </w:rPr>
        <w:t>Comprehensive testing and validation will take place throughout the migration lifecycle to ensure functionality, performance, security, and resilience of all workloads on AWS.</w:t>
      </w:r>
    </w:p>
    <w:p>
      <w:pPr>
        <w:pStyle w:val="Heading2"/>
        <w:spacing w:before="240" w:after="120"/>
        <w:ind w:left="0" w:firstLine="0"/>
      </w:pPr>
      <w:r>
        <w:t>12.1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 via UI, API, or batch-level testing</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user stories</w:t>
      </w:r>
    </w:p>
    <w:p>
      <w:pPr>
        <w:pStyle w:val="Heading2"/>
        <w:spacing w:before="240" w:after="120"/>
        <w:ind w:left="0" w:firstLine="0"/>
      </w:pPr>
      <w:r>
        <w:t>12.2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comparison between on-prem and AWS target states</w:t>
      </w:r>
    </w:p>
    <w:p>
      <w:pPr>
        <w:spacing w:after="80"/>
        <w:ind w:left="720" w:hanging="360"/>
      </w:pPr>
      <w:r>
        <w:rPr>
          <w:rFonts w:ascii="Times New Roman" w:hAnsi="Times New Roman"/>
          <w:sz w:val="24"/>
        </w:rPr>
        <w:t xml:space="preserve">• </w:t>
      </w:r>
      <w:r>
        <w:rPr>
          <w:rFonts w:ascii="Times New Roman" w:hAnsi="Times New Roman"/>
          <w:sz w:val="24"/>
        </w:rPr>
        <w:t>Stress testing using tools like JMeter or Locust</w:t>
      </w:r>
    </w:p>
    <w:p>
      <w:pPr>
        <w:pStyle w:val="Heading2"/>
        <w:spacing w:before="240" w:after="120"/>
        <w:ind w:left="0" w:firstLine="0"/>
      </w:pPr>
      <w:r>
        <w:t>12.3 Security Testing</w:t>
      </w:r>
    </w:p>
    <w:p>
      <w:pPr>
        <w:spacing w:after="80"/>
        <w:ind w:left="720" w:hanging="360"/>
      </w:pPr>
      <w:r>
        <w:rPr>
          <w:rFonts w:ascii="Times New Roman" w:hAnsi="Times New Roman"/>
          <w:sz w:val="24"/>
        </w:rPr>
        <w:t xml:space="preserve">• </w:t>
      </w:r>
      <w:r>
        <w:rPr>
          <w:rFonts w:ascii="Times New Roman" w:hAnsi="Times New Roman"/>
          <w:sz w:val="24"/>
        </w:rPr>
        <w:t>Validation of IAM policies,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2"/>
        <w:spacing w:before="240" w:after="120"/>
        <w:ind w:left="0" w:firstLine="0"/>
      </w:pPr>
      <w:r>
        <w:t>12.4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(Multi-AZ, Multi-region if applicable)</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12.5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data and environment setup managed by Vendor</w:t>
      </w:r>
    </w:p>
    <w:p>
      <w:pPr>
        <w:pStyle w:val="Heading2"/>
        <w:spacing w:before="240" w:after="120"/>
        <w:ind w:left="0" w:firstLine="0"/>
      </w:pPr>
      <w:r>
        <w:t>12.6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benchmark validation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1"/>
        <w:spacing w:before="160" w:after="120"/>
        <w:ind w:left="0" w:firstLine="0"/>
      </w:pPr>
      <w:r>
        <w:t>13 Migration Strategy &amp; Tools</w:t>
      </w:r>
    </w:p>
    <w:p>
      <w:pPr>
        <w:spacing w:after="160"/>
      </w:pPr>
      <w:r>
        <w:rPr>
          <w:rFonts w:ascii="Times New Roman" w:hAnsi="Times New Roman"/>
          <w:sz w:val="24"/>
        </w:rPr>
        <w:t>The migration approach will follow AWS’s “7 Rs” migration pattern framework, selecting the appropriate strategy (Rehost, Replatform, Repurchase, Refactor, Retire, Retain) for each workload based on business and technical drivers.</w:t>
      </w:r>
    </w:p>
    <w:p>
      <w:pPr>
        <w:pStyle w:val="Heading2"/>
        <w:spacing w:before="240" w:after="120"/>
        <w:ind w:left="0" w:firstLine="0"/>
      </w:pPr>
      <w:r>
        <w:t>13.1 Example Migration Patterns</w:t>
      </w:r>
    </w:p>
    <w:p>
      <w:pPr>
        <w:spacing w:after="80"/>
        <w:ind w:left="720" w:hanging="360"/>
      </w:pPr>
      <w:r>
        <w:rPr>
          <w:rFonts w:ascii="Times New Roman" w:hAnsi="Times New Roman"/>
          <w:sz w:val="24"/>
        </w:rPr>
        <w:t xml:space="preserve">• </w:t>
      </w:r>
      <w:r>
        <w:rPr>
          <w:rFonts w:ascii="Times New Roman" w:hAnsi="Times New Roman"/>
          <w:b/>
          <w:sz w:val="24"/>
        </w:rPr>
        <w:t>Rehost</w:t>
      </w:r>
      <w:r>
        <w:rPr>
          <w:rFonts w:ascii="Times New Roman" w:hAnsi="Times New Roman"/>
          <w:sz w:val="24"/>
        </w:rPr>
        <w:t xml:space="preserve"> (Lift &amp; Shift) using AWS MGN</w:t>
      </w:r>
    </w:p>
    <w:p>
      <w:pPr>
        <w:spacing w:after="80"/>
        <w:ind w:left="720" w:hanging="360"/>
      </w:pPr>
      <w:r>
        <w:rPr>
          <w:rFonts w:ascii="Times New Roman" w:hAnsi="Times New Roman"/>
          <w:sz w:val="24"/>
        </w:rPr>
        <w:t xml:space="preserve">• </w:t>
      </w:r>
      <w:r>
        <w:rPr>
          <w:rFonts w:ascii="Times New Roman" w:hAnsi="Times New Roman"/>
          <w:b/>
          <w:sz w:val="24"/>
        </w:rPr>
        <w:t>Replatform</w:t>
      </w:r>
      <w:r>
        <w:rPr>
          <w:rFonts w:ascii="Times New Roman" w:hAnsi="Times New Roman"/>
          <w:sz w:val="24"/>
        </w:rPr>
        <w:t xml:space="preserve"> to AWS RDS or containers</w:t>
      </w:r>
    </w:p>
    <w:p>
      <w:pPr>
        <w:spacing w:after="80"/>
        <w:ind w:left="720" w:hanging="360"/>
      </w:pPr>
      <w:r>
        <w:rPr>
          <w:rFonts w:ascii="Times New Roman" w:hAnsi="Times New Roman"/>
          <w:sz w:val="24"/>
        </w:rPr>
        <w:t xml:space="preserve">• </w:t>
      </w:r>
      <w:r>
        <w:rPr>
          <w:rFonts w:ascii="Times New Roman" w:hAnsi="Times New Roman"/>
          <w:b/>
          <w:sz w:val="24"/>
        </w:rPr>
        <w:t>Refactor</w:t>
      </w:r>
      <w:r>
        <w:rPr>
          <w:rFonts w:ascii="Times New Roman" w:hAnsi="Times New Roman"/>
          <w:sz w:val="24"/>
        </w:rPr>
        <w:t xml:space="preserve"> via modularization to AWS Lambda or ECS</w:t>
      </w:r>
    </w:p>
    <w:p>
      <w:pPr>
        <w:pStyle w:val="Heading2"/>
        <w:spacing w:before="240" w:after="120"/>
        <w:ind w:left="0" w:firstLine="0"/>
      </w:pPr>
      <w:r>
        <w:t>13.2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Third-party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Server Migration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MGN, CloudEndure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RackWare, Zerto</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Database Migration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DMS, SCT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Database Migration Tool</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File/Data Migration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DataSync, Snowball, S3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Rsync, Robocopy</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IaC</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CloudFormation, CDK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Terraform,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 Automation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Jenkins, GitHub Actions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Datadog, New Relic</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Tooling Overview</w:t>
      </w:r>
    </w:p>
    <w:p>
      <w:pPr>
        <w:pStyle w:val="Heading2"/>
        <w:spacing w:before="240" w:after="120"/>
        <w:ind w:left="0" w:firstLine="0"/>
      </w:pPr>
      <w:r>
        <w:t>13.3 Data Migration Plan</w:t>
      </w:r>
    </w:p>
    <w:p>
      <w:pPr>
        <w:pStyle w:val="Heading3"/>
        <w:spacing w:before="160" w:after="120"/>
        <w:ind w:left="0" w:firstLine="0"/>
      </w:pPr>
      <w:r>
        <w:t>13.3.1 Data Strategy</w:t>
      </w:r>
    </w:p>
    <w:p>
      <w:pPr>
        <w:spacing w:after="80"/>
        <w:ind w:left="720" w:hanging="360"/>
      </w:pPr>
      <w:r>
        <w:rPr>
          <w:rFonts w:ascii="Times New Roman" w:hAnsi="Times New Roman"/>
          <w:sz w:val="24"/>
        </w:rPr>
        <w:t xml:space="preserve">• </w:t>
      </w:r>
      <w:r>
        <w:rPr>
          <w:rFonts w:ascii="Times New Roman" w:hAnsi="Times New Roman"/>
          <w:sz w:val="24"/>
        </w:rPr>
        <w:t>AWS DMS with CDC (Change Data Capture) for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record counts and checksum comparison</w:t>
      </w:r>
    </w:p>
    <w:p>
      <w:pPr>
        <w:pStyle w:val="Heading3"/>
        <w:spacing w:before="160" w:after="120"/>
        <w:ind w:left="0" w:firstLine="0"/>
      </w:pPr>
      <w:r>
        <w:t>13.3.2 Security &amp; Compliance</w:t>
      </w:r>
    </w:p>
    <w:p>
      <w:pPr>
        <w:spacing w:after="80"/>
        <w:ind w:left="720" w:hanging="360"/>
      </w:pPr>
      <w:r>
        <w:rPr>
          <w:rFonts w:ascii="Times New Roman" w:hAnsi="Times New Roman"/>
          <w:sz w:val="24"/>
        </w:rPr>
        <w:t xml:space="preserve">• </w:t>
      </w:r>
      <w:r>
        <w:rPr>
          <w:rFonts w:ascii="Times New Roman" w:hAnsi="Times New Roman"/>
          <w:sz w:val="24"/>
        </w:rPr>
        <w:t>KMS encryption enabled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1"/>
        <w:spacing w:before="160" w:after="120"/>
        <w:ind w:left="0" w:firstLine="0"/>
      </w:pPr>
      <w:r>
        <w:t>14 Cutover Plan &amp; Go-Live Readiness</w:t>
      </w:r>
    </w:p>
    <w:p>
      <w:pPr>
        <w:pStyle w:val="Heading2"/>
        <w:spacing w:before="240" w:after="120"/>
        <w:ind w:left="0" w:firstLine="0"/>
      </w:pPr>
      <w:r>
        <w:t>14.1 Cutover Checklist</w:t>
      </w:r>
    </w:p>
    <w:p>
      <w:pPr>
        <w:spacing w:after="80"/>
        <w:ind w:left="720" w:hanging="360"/>
      </w:pPr>
      <w:r>
        <w:rPr>
          <w:rFonts w:ascii="Times New Roman" w:hAnsi="Times New Roman"/>
          <w:sz w:val="24"/>
        </w:rPr>
        <w:t xml:space="preserve">• </w:t>
      </w:r>
      <w:r>
        <w:rPr>
          <w:rFonts w:ascii="Times New Roman" w:hAnsi="Times New Roman"/>
          <w:sz w:val="24"/>
        </w:rPr>
        <w:t>DNS switch sequencing</w:t>
      </w:r>
    </w:p>
    <w:p>
      <w:pPr>
        <w:spacing w:after="80"/>
        <w:ind w:left="720" w:hanging="360"/>
      </w:pPr>
      <w:r>
        <w:rPr>
          <w:rFonts w:ascii="Times New Roman" w:hAnsi="Times New Roman"/>
          <w:sz w:val="24"/>
        </w:rPr>
        <w:t xml:space="preserve">• </w:t>
      </w:r>
      <w:r>
        <w:rPr>
          <w:rFonts w:ascii="Times New Roman" w:hAnsi="Times New Roman"/>
          <w:sz w:val="24"/>
        </w:rPr>
        <w:t>Disable legacy database writes</w:t>
      </w:r>
    </w:p>
    <w:p>
      <w:pPr>
        <w:spacing w:after="80"/>
        <w:ind w:left="720" w:hanging="360"/>
      </w:pPr>
      <w:r>
        <w:rPr>
          <w:rFonts w:ascii="Times New Roman" w:hAnsi="Times New Roman"/>
          <w:sz w:val="24"/>
        </w:rPr>
        <w:t xml:space="preserve">• </w:t>
      </w:r>
      <w:r>
        <w:rPr>
          <w:rFonts w:ascii="Times New Roman" w:hAnsi="Times New Roman"/>
          <w:sz w:val="24"/>
        </w:rPr>
        <w:t>Application and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w:t>
      </w:r>
    </w:p>
    <w:p>
      <w:pPr>
        <w:pStyle w:val="Heading2"/>
        <w:spacing w:before="240" w:after="120"/>
        <w:ind w:left="0" w:firstLine="0"/>
      </w:pPr>
      <w:r>
        <w:t>14.2 Rollback Strategy</w:t>
      </w:r>
    </w:p>
    <w:p>
      <w:pPr>
        <w:spacing w:after="80"/>
        <w:ind w:left="720" w:hanging="360"/>
      </w:pPr>
      <w:r>
        <w:rPr>
          <w:rFonts w:ascii="Times New Roman" w:hAnsi="Times New Roman"/>
          <w:sz w:val="24"/>
        </w:rPr>
        <w:t xml:space="preserve">• </w:t>
      </w:r>
      <w:r>
        <w:rPr>
          <w:rFonts w:ascii="Times New Roman" w:hAnsi="Times New Roman"/>
          <w:sz w:val="24"/>
        </w:rPr>
        <w:t>Reverse DNS</w:t>
      </w:r>
    </w:p>
    <w:p>
      <w:pPr>
        <w:spacing w:after="80"/>
        <w:ind w:left="720" w:hanging="360"/>
      </w:pPr>
      <w:r>
        <w:rPr>
          <w:rFonts w:ascii="Times New Roman" w:hAnsi="Times New Roman"/>
          <w:sz w:val="24"/>
        </w:rPr>
        <w:t xml:space="preserve">• </w:t>
      </w:r>
      <w:r>
        <w:rPr>
          <w:rFonts w:ascii="Times New Roman" w:hAnsi="Times New Roman"/>
          <w:sz w:val="24"/>
        </w:rPr>
        <w:t>Re-enable legacy data writes</w:t>
      </w:r>
    </w:p>
    <w:p>
      <w:pPr>
        <w:spacing w:after="80"/>
        <w:ind w:left="720" w:hanging="360"/>
      </w:pPr>
      <w:r>
        <w:rPr>
          <w:rFonts w:ascii="Times New Roman" w:hAnsi="Times New Roman"/>
          <w:sz w:val="24"/>
        </w:rPr>
        <w:t xml:space="preserve">• </w:t>
      </w:r>
      <w:r>
        <w:rPr>
          <w:rFonts w:ascii="Times New Roman" w:hAnsi="Times New Roman"/>
          <w:sz w:val="24"/>
        </w:rPr>
        <w:t>Rollback to earlier snapshot or AMI</w:t>
      </w:r>
    </w:p>
    <w:p>
      <w:pPr>
        <w:pStyle w:val="Heading1"/>
        <w:spacing w:before="160" w:after="120"/>
        <w:ind w:left="0" w:firstLine="0"/>
      </w:pPr>
      <w:r>
        <w:t>15 Handover &amp; Managed Services Transition</w:t>
      </w:r>
    </w:p>
    <w:p>
      <w:pPr>
        <w:pStyle w:val="Heading2"/>
        <w:spacing w:before="240" w:after="120"/>
        <w:ind w:left="0" w:firstLine="0"/>
      </w:pPr>
      <w:r>
        <w:t>15.1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Cloud cost estimation &amp; optimization recommendations</w:t>
      </w:r>
    </w:p>
    <w:p>
      <w:pPr>
        <w:spacing w:after="80"/>
        <w:ind w:left="720" w:hanging="360"/>
      </w:pPr>
      <w:r>
        <w:rPr>
          <w:rFonts w:ascii="Times New Roman" w:hAnsi="Times New Roman"/>
          <w:sz w:val="24"/>
        </w:rPr>
        <w:t xml:space="preserve">• </w:t>
      </w:r>
      <w:r>
        <w:rPr>
          <w:rFonts w:ascii="Times New Roman" w:hAnsi="Times New Roman"/>
          <w:sz w:val="24"/>
        </w:rPr>
        <w:t>IAM and account governance model</w:t>
      </w:r>
    </w:p>
    <w:p>
      <w:pPr>
        <w:spacing w:after="80"/>
        <w:ind w:left="720" w:hanging="360"/>
      </w:pPr>
      <w:r>
        <w:rPr>
          <w:rFonts w:ascii="Times New Roman" w:hAnsi="Times New Roman"/>
          <w:sz w:val="24"/>
        </w:rPr>
        <w:t xml:space="preserve">• </w:t>
      </w:r>
      <w:r>
        <w:rPr>
          <w:rFonts w:ascii="Times New Roman" w:hAnsi="Times New Roman"/>
          <w:sz w:val="24"/>
        </w:rPr>
        <w:t>Monitoring &amp; alert setup reference</w:t>
      </w:r>
    </w:p>
    <w:p>
      <w:pPr>
        <w:pStyle w:val="Heading2"/>
        <w:spacing w:before="240" w:after="120"/>
        <w:ind w:left="0" w:firstLine="0"/>
      </w:pPr>
      <w:r>
        <w:t>15.2 Knowledge Transfer</w:t>
      </w:r>
    </w:p>
    <w:p>
      <w:pPr>
        <w:spacing w:after="80"/>
        <w:ind w:left="720" w:hanging="360"/>
      </w:pPr>
      <w:r>
        <w:rPr>
          <w:rFonts w:ascii="Times New Roman" w:hAnsi="Times New Roman"/>
          <w:sz w:val="24"/>
        </w:rPr>
        <w:t xml:space="preserve">• </w:t>
      </w:r>
      <w:r>
        <w:rPr>
          <w:rFonts w:ascii="Times New Roman" w:hAnsi="Times New Roman"/>
          <w:sz w:val="24"/>
        </w:rPr>
        <w:t>[X] live sessions</w:t>
      </w:r>
    </w:p>
    <w:p>
      <w:pPr>
        <w:spacing w:after="80"/>
        <w:ind w:left="720" w:hanging="360"/>
      </w:pPr>
      <w:r>
        <w:rPr>
          <w:rFonts w:ascii="Times New Roman" w:hAnsi="Times New Roman"/>
          <w:sz w:val="24"/>
        </w:rPr>
        <w:t xml:space="preserve">• </w:t>
      </w:r>
      <w:r>
        <w:rPr>
          <w:rFonts w:ascii="Times New Roman" w:hAnsi="Times New Roman"/>
          <w:sz w:val="24"/>
        </w:rPr>
        <w:t>Recorded materials hosted in shared portal</w:t>
      </w:r>
    </w:p>
    <w:p>
      <w:pPr>
        <w:pStyle w:val="Heading1"/>
        <w:spacing w:before="160" w:after="120"/>
        <w:ind w:left="0" w:firstLine="0"/>
      </w:pPr>
      <w:r>
        <w:t>16 Investment Summary</w:t>
      </w:r>
    </w:p>
    <w:p>
      <w:pPr>
        <w:spacing w:after="160"/>
      </w:pPr>
      <w:r>
        <w:rPr>
          <w:rFonts w:ascii="Times New Roman" w:hAnsi="Times New Roman"/>
          <w:b/>
          <w:sz w:val="24"/>
        </w:rPr>
        <w:t>Small Scope Implementation:</w:t>
      </w:r>
      <w:r>
        <w:rPr>
          <w:rFonts w:ascii="Times New Roman" w:hAnsi="Times New Roman"/>
          <w:sz w:val="24"/>
        </w:rPr>
        <w:t xml:space="preserve"> This pricing reflects a lift-and-shift migration of 15-25 workloads. For larger migrations (50+ workloads) or refactoring/modernization, please request medium or large scope pricing.</w:t>
      </w:r>
    </w:p>
    <w:p>
      <w:pPr>
        <w:pStyle w:val="Heading2"/>
        <w:spacing w:before="240" w:after="120"/>
        <w:ind w:left="0" w:firstLine="0"/>
      </w:pPr>
      <w:r>
        <w:t>16.1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$125,150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($22,000)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$103,150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$103,150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$9,572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($8,117)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$1,455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$9,472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$9,472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$20,399</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$1,462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$4,386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$139,316</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($30,117)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$109,199</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$14,066</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$14,066</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$137,331</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Total Investment</w:t>
      </w:r>
    </w:p>
    <w:p>
      <w:pPr>
        <w:pStyle w:val="Heading2"/>
        <w:spacing w:before="240" w:after="120"/>
        <w:ind w:left="0" w:firstLine="0"/>
      </w:pPr>
      <w:r>
        <w:t>16.2 AWS Migration Acceleration Program (MAP) Credits</w:t>
      </w:r>
    </w:p>
    <w:p>
      <w:pPr>
        <w:spacing w:after="160"/>
      </w:pPr>
      <w:r>
        <w:rPr>
          <w:rFonts w:ascii="Times New Roman" w:hAnsi="Times New Roman"/>
          <w:b/>
          <w:sz w:val="24"/>
        </w:rPr>
        <w:t>Year 1 Credits Applied:</w:t>
      </w:r>
      <w:r>
        <w:rPr>
          <w:rFonts w:ascii="Times New Roman" w:hAnsi="Times New Roman"/>
          <w:sz w:val="24"/>
        </w:rPr>
        <w:t xml:space="preserve"> $30,117 (22% reduction)</w:t>
      </w:r>
    </w:p>
    <w:p>
      <w:pPr>
        <w:spacing w:after="80"/>
        <w:ind w:left="720" w:hanging="360"/>
      </w:pPr>
      <w:r>
        <w:rPr>
          <w:rFonts w:ascii="Times New Roman" w:hAnsi="Times New Roman"/>
          <w:sz w:val="24"/>
        </w:rPr>
        <w:t xml:space="preserve">• </w:t>
      </w:r>
      <w:r>
        <w:rPr>
          <w:rFonts w:ascii="Times New Roman" w:hAnsi="Times New Roman"/>
          <w:b/>
          <w:sz w:val="24"/>
        </w:rPr>
        <w:t>AWS MAP Assessment Credit:</w:t>
      </w:r>
      <w:r>
        <w:rPr>
          <w:rFonts w:ascii="Times New Roman" w:hAnsi="Times New Roman"/>
          <w:sz w:val="24"/>
        </w:rPr>
        <w:t xml:space="preserve"> $12,000 - 100% funding for migration discovery and application inventory</w:t>
      </w:r>
    </w:p>
    <w:p>
      <w:pPr>
        <w:spacing w:after="80"/>
        <w:ind w:left="720" w:hanging="360"/>
      </w:pPr>
      <w:r>
        <w:rPr>
          <w:rFonts w:ascii="Times New Roman" w:hAnsi="Times New Roman"/>
          <w:sz w:val="24"/>
        </w:rPr>
        <w:t xml:space="preserve">• </w:t>
      </w:r>
      <w:r>
        <w:rPr>
          <w:rFonts w:ascii="Times New Roman" w:hAnsi="Times New Roman"/>
          <w:b/>
          <w:sz w:val="24"/>
        </w:rPr>
        <w:t>AWS MAP Mobilize/Migrate Credit:</w:t>
      </w:r>
      <w:r>
        <w:rPr>
          <w:rFonts w:ascii="Times New Roman" w:hAnsi="Times New Roman"/>
          <w:sz w:val="24"/>
        </w:rPr>
        <w:t xml:space="preserve"> $10,000 - Partial funding for migration wave planning and execution</w:t>
      </w:r>
    </w:p>
    <w:p>
      <w:pPr>
        <w:spacing w:after="80"/>
        <w:ind w:left="720" w:hanging="360"/>
      </w:pPr>
      <w:r>
        <w:rPr>
          <w:rFonts w:ascii="Times New Roman" w:hAnsi="Times New Roman"/>
          <w:sz w:val="24"/>
        </w:rPr>
        <w:t xml:space="preserve">• </w:t>
      </w:r>
      <w:r>
        <w:rPr>
          <w:rFonts w:ascii="Times New Roman" w:hAnsi="Times New Roman"/>
          <w:b/>
          <w:sz w:val="24"/>
        </w:rPr>
        <w:t>AWS MAP Consumption Credit:</w:t>
      </w:r>
      <w:r>
        <w:rPr>
          <w:rFonts w:ascii="Times New Roman" w:hAnsi="Times New Roman"/>
          <w:sz w:val="24"/>
        </w:rPr>
        <w:t xml:space="preserve"> $8,117 - 35% of Year 1 cloud infrastructure costs</w:t>
      </w:r>
    </w:p>
    <w:p>
      <w:pPr>
        <w:spacing w:after="80"/>
        <w:ind w:left="720" w:hanging="360"/>
      </w:pPr>
      <w:r>
        <w:rPr>
          <w:rFonts w:ascii="Times New Roman" w:hAnsi="Times New Roman"/>
          <w:sz w:val="24"/>
        </w:rPr>
        <w:t xml:space="preserve">• </w:t>
      </w:r>
      <w:r>
        <w:rPr>
          <w:rFonts w:ascii="Times New Roman" w:hAnsi="Times New Roman"/>
          <w:sz w:val="24"/>
        </w:rPr>
        <w:t>Credits are real AWS promotional credits, applied automatically through AWS Migration Hub</w:t>
      </w:r>
    </w:p>
    <w:p>
      <w:pPr>
        <w:spacing w:after="80"/>
        <w:ind w:left="720" w:hanging="360"/>
      </w:pPr>
      <w:r>
        <w:rPr>
          <w:rFonts w:ascii="Times New Roman" w:hAnsi="Times New Roman"/>
          <w:sz w:val="24"/>
        </w:rPr>
        <w:t xml:space="preserve">• </w:t>
      </w:r>
      <w:r>
        <w:rPr>
          <w:rFonts w:ascii="Times New Roman" w:hAnsi="Times New Roman"/>
          <w:sz w:val="24"/>
        </w:rPr>
        <w:t>MAP credits are Year 1 only; Years 2-3 reflect standard AWS pricing</w:t>
      </w:r>
    </w:p>
    <w:p>
      <w:pPr>
        <w:spacing w:after="160"/>
      </w:pPr>
      <w:r>
        <w:rPr>
          <w:rFonts w:ascii="Times New Roman" w:hAnsi="Times New Roman"/>
          <w:b/>
          <w:sz w:val="24"/>
        </w:rPr>
        <w:t>Investment Comparison:</w:t>
      </w:r>
    </w:p>
    <w:p>
      <w:pPr>
        <w:spacing w:after="80"/>
        <w:ind w:left="720" w:hanging="360"/>
      </w:pPr>
      <w:r>
        <w:rPr>
          <w:rFonts w:ascii="Times New Roman" w:hAnsi="Times New Roman"/>
          <w:sz w:val="24"/>
        </w:rPr>
        <w:t xml:space="preserve">• </w:t>
      </w:r>
      <w:r>
        <w:rPr>
          <w:rFonts w:ascii="Times New Roman" w:hAnsi="Times New Roman"/>
          <w:b/>
          <w:sz w:val="24"/>
        </w:rPr>
        <w:t>Year 1 Net Investment:</w:t>
      </w:r>
      <w:r>
        <w:rPr>
          <w:rFonts w:ascii="Times New Roman" w:hAnsi="Times New Roman"/>
          <w:sz w:val="24"/>
        </w:rPr>
        <w:t xml:space="preserve"> $109,199 (after MAP credits) vs. $139,316 list price</w:t>
      </w:r>
    </w:p>
    <w:p>
      <w:pPr>
        <w:spacing w:after="80"/>
        <w:ind w:left="720" w:hanging="360"/>
      </w:pPr>
      <w:r>
        <w:rPr>
          <w:rFonts w:ascii="Times New Roman" w:hAnsi="Times New Roman"/>
          <w:sz w:val="24"/>
        </w:rPr>
        <w:t xml:space="preserve">• </w:t>
      </w:r>
      <w:r>
        <w:rPr>
          <w:rFonts w:ascii="Times New Roman" w:hAnsi="Times New Roman"/>
          <w:b/>
          <w:sz w:val="24"/>
        </w:rPr>
        <w:t>3-Year Total Cost of Ownership:</w:t>
      </w:r>
      <w:r>
        <w:rPr>
          <w:rFonts w:ascii="Times New Roman" w:hAnsi="Times New Roman"/>
          <w:sz w:val="24"/>
        </w:rPr>
        <w:t xml:space="preserve"> $137,331</w:t>
      </w:r>
    </w:p>
    <w:p>
      <w:pPr>
        <w:spacing w:after="80"/>
        <w:ind w:left="720" w:hanging="360"/>
      </w:pPr>
      <w:r>
        <w:rPr>
          <w:rFonts w:ascii="Times New Roman" w:hAnsi="Times New Roman"/>
          <w:sz w:val="24"/>
        </w:rPr>
        <w:t xml:space="preserve">• </w:t>
      </w:r>
      <w:r>
        <w:rPr>
          <w:rFonts w:ascii="Times New Roman" w:hAnsi="Times New Roman"/>
          <w:b/>
          <w:sz w:val="24"/>
        </w:rPr>
        <w:t>On-Premise Comparison:</w:t>
      </w:r>
      <w:r>
        <w:rPr>
          <w:rFonts w:ascii="Times New Roman" w:hAnsi="Times New Roman"/>
          <w:sz w:val="24"/>
        </w:rPr>
        <w:t xml:space="preserve"> $420K (3-year on-prem cost for 25 VMs) - </w:t>
      </w:r>
      <w:r>
        <w:rPr>
          <w:rFonts w:ascii="Times New Roman" w:hAnsi="Times New Roman"/>
          <w:b/>
          <w:sz w:val="24"/>
        </w:rPr>
        <w:t>Net Savings: $283K (67% reduction)</w:t>
      </w:r>
    </w:p>
    <w:p>
      <w:pPr>
        <w:pStyle w:val="Heading2"/>
        <w:spacing w:before="240" w:after="120"/>
        <w:ind w:left="0" w:firstLine="0"/>
      </w:pPr>
      <w:r>
        <w:t>16.3 Cost Components</w:t>
      </w:r>
    </w:p>
    <w:p>
      <w:pPr>
        <w:spacing w:after="160"/>
      </w:pPr>
      <w:r>
        <w:rPr>
          <w:rFonts w:ascii="Times New Roman" w:hAnsi="Times New Roman"/>
          <w:b/>
          <w:sz w:val="24"/>
        </w:rPr>
        <w:t>Professional Services</w:t>
      </w:r>
      <w:r>
        <w:rPr>
          <w:rFonts w:ascii="Times New Roman" w:hAnsi="Times New Roman"/>
          <w:sz w:val="24"/>
        </w:rPr>
        <w:t xml:space="preserve"> ($125,150 - 548 hours): Labor costs for migration assessment, wave planning, AWS landing zone, application/database migration, testing, cutover, and knowledge transfer. Breakdown:</w:t>
      </w:r>
    </w:p>
    <w:p>
      <w:pPr>
        <w:spacing w:after="80"/>
        <w:ind w:left="720" w:hanging="360"/>
      </w:pPr>
      <w:r>
        <w:rPr>
          <w:rFonts w:ascii="Times New Roman" w:hAnsi="Times New Roman"/>
          <w:sz w:val="24"/>
        </w:rPr>
        <w:t xml:space="preserve">• </w:t>
      </w:r>
      <w:r>
        <w:rPr>
          <w:rFonts w:ascii="Times New Roman" w:hAnsi="Times New Roman"/>
          <w:sz w:val="24"/>
        </w:rPr>
        <w:t>Assessment &amp; Planning (140 hours): Discovery, migration strategy, AWS landing zone setup</w:t>
      </w:r>
    </w:p>
    <w:p>
      <w:pPr>
        <w:spacing w:after="80"/>
        <w:ind w:left="720" w:hanging="360"/>
      </w:pPr>
      <w:r>
        <w:rPr>
          <w:rFonts w:ascii="Times New Roman" w:hAnsi="Times New Roman"/>
          <w:sz w:val="24"/>
        </w:rPr>
        <w:t xml:space="preserve">• </w:t>
      </w:r>
      <w:r>
        <w:rPr>
          <w:rFonts w:ascii="Times New Roman" w:hAnsi="Times New Roman"/>
          <w:sz w:val="24"/>
        </w:rPr>
        <w:t>Migration Execution (330 hours): Application migration, database migration, security, testing, cutover coordination</w:t>
      </w:r>
    </w:p>
    <w:p>
      <w:pPr>
        <w:spacing w:after="80"/>
        <w:ind w:left="720" w:hanging="360"/>
      </w:pPr>
      <w:r>
        <w:rPr>
          <w:rFonts w:ascii="Times New Roman" w:hAnsi="Times New Roman"/>
          <w:sz w:val="24"/>
        </w:rPr>
        <w:t xml:space="preserve">• </w:t>
      </w:r>
      <w:r>
        <w:rPr>
          <w:rFonts w:ascii="Times New Roman" w:hAnsi="Times New Roman"/>
          <w:sz w:val="24"/>
        </w:rPr>
        <w:t>Training &amp; Support (78 hours): Knowledge transfer, documentation, 60-day hypercare</w:t>
      </w:r>
    </w:p>
    <w:p>
      <w:pPr>
        <w:spacing w:after="160"/>
      </w:pPr>
      <w:r>
        <w:rPr>
          <w:rFonts w:ascii="Times New Roman" w:hAnsi="Times New Roman"/>
          <w:b/>
          <w:sz w:val="24"/>
        </w:rPr>
        <w:t>Cloud Infrastructure</w:t>
      </w:r>
      <w:r>
        <w:rPr>
          <w:rFonts w:ascii="Times New Roman" w:hAnsi="Times New Roman"/>
          <w:sz w:val="24"/>
        </w:rPr>
        <w:t xml:space="preserve"> ($9,572 Year 1, $9,472 Years 2-3): AWS services for migrated workloads:</w:t>
      </w:r>
    </w:p>
    <w:p>
      <w:pPr>
        <w:spacing w:after="80"/>
        <w:ind w:left="720" w:hanging="360"/>
      </w:pPr>
      <w:r>
        <w:rPr>
          <w:rFonts w:ascii="Times New Roman" w:hAnsi="Times New Roman"/>
          <w:sz w:val="24"/>
        </w:rPr>
        <w:t xml:space="preserve">• </w:t>
      </w:r>
      <w:r>
        <w:rPr>
          <w:rFonts w:ascii="Times New Roman" w:hAnsi="Times New Roman"/>
          <w:sz w:val="24"/>
        </w:rPr>
        <w:t>Amazon EC2 (3x t3.large), RDS (db.t3.large Multi-AZ), S3 (1TB), EBS, ALB, VPN, caching</w:t>
      </w:r>
    </w:p>
    <w:p>
      <w:pPr>
        <w:spacing w:after="80"/>
        <w:ind w:left="720" w:hanging="360"/>
      </w:pPr>
      <w:r>
        <w:rPr>
          <w:rFonts w:ascii="Times New Roman" w:hAnsi="Times New Roman"/>
          <w:sz w:val="24"/>
        </w:rPr>
        <w:t xml:space="preserve">• </w:t>
      </w:r>
      <w:r>
        <w:rPr>
          <w:rFonts w:ascii="Times New Roman" w:hAnsi="Times New Roman"/>
          <w:sz w:val="24"/>
        </w:rPr>
        <w:t>Single region deployment with standard availability</w:t>
      </w:r>
    </w:p>
    <w:p>
      <w:pPr>
        <w:spacing w:after="80"/>
        <w:ind w:left="720" w:hanging="360"/>
      </w:pPr>
      <w:r>
        <w:rPr>
          <w:rFonts w:ascii="Times New Roman" w:hAnsi="Times New Roman"/>
          <w:sz w:val="24"/>
        </w:rPr>
        <w:t xml:space="preserve">• </w:t>
      </w:r>
      <w:r>
        <w:rPr>
          <w:rFonts w:ascii="Times New Roman" w:hAnsi="Times New Roman"/>
          <w:sz w:val="24"/>
        </w:rPr>
        <w:t>Year 1 includes $100 one-time data transfer costs</w:t>
      </w:r>
    </w:p>
    <w:p>
      <w:pPr>
        <w:spacing w:after="160"/>
      </w:pPr>
      <w:r>
        <w:rPr>
          <w:rFonts w:ascii="Times New Roman" w:hAnsi="Times New Roman"/>
          <w:b/>
          <w:sz w:val="24"/>
        </w:rPr>
        <w:t>Software Licenses &amp; Subscriptions</w:t>
      </w:r>
      <w:r>
        <w:rPr>
          <w:rFonts w:ascii="Times New Roman" w:hAnsi="Times New Roman"/>
          <w:sz w:val="24"/>
        </w:rPr>
        <w:t xml:space="preserve"> ($3,132/year): Monitoring and incident management:</w:t>
      </w:r>
    </w:p>
    <w:p>
      <w:pPr>
        <w:spacing w:after="80"/>
        <w:ind w:left="720" w:hanging="360"/>
      </w:pPr>
      <w:r>
        <w:rPr>
          <w:rFonts w:ascii="Times New Roman" w:hAnsi="Times New Roman"/>
          <w:sz w:val="24"/>
        </w:rPr>
        <w:t xml:space="preserve">• </w:t>
      </w:r>
      <w:r>
        <w:rPr>
          <w:rFonts w:ascii="Times New Roman" w:hAnsi="Times New Roman"/>
          <w:sz w:val="24"/>
        </w:rPr>
        <w:t>Datadog Pro (6 hosts): $1,656/year</w:t>
      </w:r>
    </w:p>
    <w:p>
      <w:pPr>
        <w:spacing w:after="80"/>
        <w:ind w:left="720" w:hanging="360"/>
      </w:pPr>
      <w:r>
        <w:rPr>
          <w:rFonts w:ascii="Times New Roman" w:hAnsi="Times New Roman"/>
          <w:sz w:val="24"/>
        </w:rPr>
        <w:t xml:space="preserve">• </w:t>
      </w:r>
      <w:r>
        <w:rPr>
          <w:rFonts w:ascii="Times New Roman" w:hAnsi="Times New Roman"/>
          <w:sz w:val="24"/>
        </w:rPr>
        <w:t>PagerDuty Professional (3 users): $1,476/year</w:t>
      </w:r>
    </w:p>
    <w:p>
      <w:pPr>
        <w:spacing w:after="160"/>
      </w:pPr>
      <w:r>
        <w:rPr>
          <w:rFonts w:ascii="Times New Roman" w:hAnsi="Times New Roman"/>
          <w:b/>
          <w:sz w:val="24"/>
        </w:rPr>
        <w:t>Support &amp; Maintenance</w:t>
      </w:r>
      <w:r>
        <w:rPr>
          <w:rFonts w:ascii="Times New Roman" w:hAnsi="Times New Roman"/>
          <w:sz w:val="24"/>
        </w:rPr>
        <w:t xml:space="preserve"> ($1,462/year): Ongoing managed services (15% of cloud infrastructure):</w:t>
      </w:r>
    </w:p>
    <w:p>
      <w:pPr>
        <w:spacing w:after="80"/>
        <w:ind w:left="720" w:hanging="360"/>
      </w:pPr>
      <w:r>
        <w:rPr>
          <w:rFonts w:ascii="Times New Roman" w:hAnsi="Times New Roman"/>
          <w:sz w:val="24"/>
        </w:rPr>
        <w:t xml:space="preserve">• </w:t>
      </w:r>
      <w:r>
        <w:rPr>
          <w:rFonts w:ascii="Times New Roman" w:hAnsi="Times New Roman"/>
          <w:sz w:val="24"/>
        </w:rPr>
        <w:t>Monthly cost optimization reviews</w:t>
      </w:r>
    </w:p>
    <w:p>
      <w:pPr>
        <w:spacing w:after="80"/>
        <w:ind w:left="720" w:hanging="360"/>
      </w:pPr>
      <w:r>
        <w:rPr>
          <w:rFonts w:ascii="Times New Roman" w:hAnsi="Times New Roman"/>
          <w:sz w:val="24"/>
        </w:rPr>
        <w:t xml:space="preserve">• </w:t>
      </w:r>
      <w:r>
        <w:rPr>
          <w:rFonts w:ascii="Times New Roman" w:hAnsi="Times New Roman"/>
          <w:sz w:val="24"/>
        </w:rPr>
        <w:t>AWS service management</w:t>
      </w:r>
    </w:p>
    <w:p>
      <w:pPr>
        <w:spacing w:after="80"/>
        <w:ind w:left="720" w:hanging="360"/>
      </w:pPr>
      <w:r>
        <w:rPr>
          <w:rFonts w:ascii="Times New Roman" w:hAnsi="Times New Roman"/>
          <w:sz w:val="24"/>
        </w:rPr>
        <w:t xml:space="preserve">• </w:t>
      </w:r>
      <w:r>
        <w:rPr>
          <w:rFonts w:ascii="Times New Roman" w:hAnsi="Times New Roman"/>
          <w:sz w:val="24"/>
        </w:rPr>
        <w:t>Performance tuning</w:t>
      </w:r>
    </w:p>
    <w:p>
      <w:pPr>
        <w:spacing w:after="160"/>
      </w:pPr>
      <w:r>
        <w:rPr>
          <w:rFonts w:ascii="Times New Roman" w:hAnsi="Times New Roman"/>
          <w:sz w:val="24"/>
        </w:rPr>
        <w:t>Detailed breakdown including AWS service consumption, migration tasks, and cost comparison is provided in cost-breakdown.xlsx.</w:t>
      </w:r>
    </w:p>
    <w:p>
      <w:pPr>
        <w:pStyle w:val="Heading2"/>
        <w:spacing w:before="240" w:after="120"/>
        <w:ind w:left="0" w:firstLine="0"/>
      </w:pPr>
      <w:r>
        <w:t>16.4 Payment Terms</w:t>
      </w:r>
    </w:p>
    <w:p>
      <w:pPr>
        <w:pStyle w:val="Heading3"/>
        <w:spacing w:before="160" w:after="120"/>
        <w:ind w:left="0" w:firstLine="0"/>
      </w:pPr>
      <w:r>
        <w:t>16.4.1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16.4.2 Payment Schedule</w:t>
      </w:r>
    </w:p>
    <w:p>
      <w:pPr>
        <w:spacing w:after="80"/>
        <w:ind w:left="720" w:hanging="360"/>
      </w:pPr>
      <w:r>
        <w:rPr>
          <w:rFonts w:ascii="Times New Roman" w:hAnsi="Times New Roman"/>
          <w:sz w:val="24"/>
        </w:rPr>
        <w:t xml:space="preserve">• </w:t>
      </w:r>
      <w:r>
        <w:rPr>
          <w:rFonts w:ascii="Times New Roman" w:hAnsi="Times New Roman"/>
          <w:sz w:val="24"/>
        </w:rPr>
        <w:t>25%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Assessment and Wave 1 migration</w:t>
      </w:r>
    </w:p>
    <w:p>
      <w:pPr>
        <w:spacing w:after="80"/>
        <w:ind w:left="720" w:hanging="360"/>
      </w:pPr>
      <w:r>
        <w:rPr>
          <w:rFonts w:ascii="Times New Roman" w:hAnsi="Times New Roman"/>
          <w:sz w:val="24"/>
        </w:rPr>
        <w:t xml:space="preserve">• </w:t>
      </w:r>
      <w:r>
        <w:rPr>
          <w:rFonts w:ascii="Times New Roman" w:hAnsi="Times New Roman"/>
          <w:sz w:val="24"/>
        </w:rPr>
        <w:t>30% upon completion of Wave 2-3 migrations</w:t>
      </w:r>
    </w:p>
    <w:p>
      <w:pPr>
        <w:spacing w:after="80"/>
        <w:ind w:left="720" w:hanging="360"/>
      </w:pPr>
      <w:r>
        <w:rPr>
          <w:rFonts w:ascii="Times New Roman" w:hAnsi="Times New Roman"/>
          <w:sz w:val="24"/>
        </w:rPr>
        <w:t xml:space="preserve">• </w:t>
      </w:r>
      <w:r>
        <w:rPr>
          <w:rFonts w:ascii="Times New Roman" w:hAnsi="Times New Roman"/>
          <w:sz w:val="24"/>
        </w:rPr>
        <w:t>15% upon successful cutover and hypercare completion</w:t>
      </w:r>
    </w:p>
    <w:p>
      <w:pPr>
        <w:pStyle w:val="Heading2"/>
        <w:spacing w:before="240" w:after="120"/>
        <w:ind w:left="0" w:firstLine="0"/>
      </w:pPr>
      <w:r>
        <w:t>16.5 Invoicing &amp; Expenses</w:t>
      </w:r>
    </w:p>
    <w:p>
      <w:pPr>
        <w:pStyle w:val="Heading3"/>
        <w:spacing w:before="160" w:after="120"/>
        <w:ind w:left="0" w:firstLine="0"/>
      </w:pPr>
      <w:r>
        <w:t>16.5.1 Invoicing</w:t>
      </w:r>
    </w:p>
    <w:p>
      <w:pPr>
        <w:spacing w:after="80"/>
        <w:ind w:left="720" w:hanging="360"/>
      </w:pPr>
      <w:r>
        <w:rPr>
          <w:rFonts w:ascii="Times New Roman" w:hAnsi="Times New Roman"/>
          <w:sz w:val="24"/>
        </w:rPr>
        <w:t xml:space="preserve">• </w:t>
      </w:r>
      <w:r>
        <w:rPr>
          <w:rFonts w:ascii="Times New Roman" w:hAnsi="Times New Roman"/>
          <w:sz w:val="24"/>
        </w:rPr>
        <w:t>Monthly invoicing</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3"/>
        <w:spacing w:before="160" w:after="120"/>
        <w:ind w:left="0" w:firstLine="0"/>
      </w:pPr>
      <w:r>
        <w:t>16.5.2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2"/>
        <w:spacing w:before="240" w:after="120"/>
        <w:ind w:left="0" w:firstLine="0"/>
      </w:pPr>
      <w:r>
        <w:t>16.6 Terms &amp; Conditions</w:t>
      </w:r>
    </w:p>
    <w:p>
      <w:pPr>
        <w:spacing w:after="160"/>
      </w:pPr>
      <w:r>
        <w:rPr>
          <w:rFonts w:ascii="Times New Roman" w:hAnsi="Times New Roman"/>
          <w:sz w:val="24"/>
        </w:rPr>
        <w:t>All migration services will be delivered in accordance with the executed Master Services Agreement (MSA) or equivalent contractual document between Vendor and Client.</w:t>
      </w:r>
    </w:p>
    <w:p>
      <w:pPr>
        <w:pStyle w:val="Heading3"/>
        <w:spacing w:before="160" w:after="120"/>
        <w:ind w:left="0" w:firstLine="0"/>
      </w:pPr>
      <w:r>
        <w:t>16.6.1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3"/>
        <w:spacing w:before="160" w:after="120"/>
        <w:ind w:left="0" w:firstLine="0"/>
      </w:pPr>
      <w:r>
        <w:t>16.6.2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migrated assets, applications, and cloud configs</w:t>
      </w:r>
    </w:p>
    <w:p>
      <w:pPr>
        <w:spacing w:after="80"/>
        <w:ind w:left="720" w:hanging="360"/>
      </w:pPr>
      <w:r>
        <w:rPr>
          <w:rFonts w:ascii="Times New Roman" w:hAnsi="Times New Roman"/>
          <w:sz w:val="24"/>
        </w:rPr>
        <w:t xml:space="preserve">• </w:t>
      </w:r>
      <w:r>
        <w:rPr>
          <w:rFonts w:ascii="Times New Roman" w:hAnsi="Times New Roman"/>
          <w:sz w:val="24"/>
        </w:rPr>
        <w:t>Vendor retains proprietary scripts and accelerators unless otherwise agreed</w:t>
      </w:r>
    </w:p>
    <w:p>
      <w:pPr>
        <w:pStyle w:val="Heading3"/>
        <w:spacing w:before="160" w:after="120"/>
        <w:ind w:left="0" w:firstLine="0"/>
      </w:pPr>
      <w:r>
        <w:t>16.6.3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3"/>
        <w:spacing w:before="160" w:after="120"/>
        <w:ind w:left="0" w:firstLine="0"/>
      </w:pPr>
      <w:r>
        <w:t>16.6.4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3"/>
        <w:spacing w:before="160" w:after="120"/>
        <w:ind w:left="0" w:firstLine="0"/>
      </w:pPr>
      <w:r>
        <w:t>16.6.5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3"/>
        <w:spacing w:before="160" w:after="120"/>
        <w:ind w:left="0" w:firstLine="0"/>
      </w:pPr>
      <w:r>
        <w:t>16.6.6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3"/>
        <w:spacing w:before="160" w:after="120"/>
        <w:ind w:left="0" w:firstLine="0"/>
      </w:pPr>
      <w:r>
        <w:t>16.6.7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17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cloud migration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AWS Cloud Migration - On-Premise to Cloud</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