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Detailed Design Document</w:t>
      </w:r>
      <w:r w:rsidR="005B0B47"/>
      <w:r/>
    </w:p>
    <w:p w14:paraId="5F4CFF81" w14:textId="77777777" w:rsidR="00517E5A" w:rsidRDefault="00000000">
      <w:pPr>
        <w:jc w:val="center"/>
      </w:pPr>
      <w:r>
        <w:rPr>
          <w:b/>
          <w:color w:val="5B6770"/>
          <w:sz w:val="40"/>
        </w:rPr>
        <w:t>AWS On-Premise to Cloud Migration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document provides the comprehensive technical design for the AWS Cloud Migration solution. It covers the landing zone architecture, migration methodology, target infrastructure design, and operational procedures required for successful migration of on-premise workloads to AWS.</w:t>
      </w:r>
    </w:p>
    <w:p>
      <w:pPr>
        <w:pStyle w:val="Heading2"/>
        <w:spacing w:before="240" w:after="120"/>
        <w:ind w:left="0"/>
      </w:pPr>
      <w:r>
        <w:t>1.1 Purpose</w:t>
      </w:r>
    </w:p>
    <w:p>
      <w:r>
        <w:rPr>
          <w:rFonts w:ascii="Calibri" w:hAnsi="Calibri"/>
          <w:sz w:val="24"/>
        </w:rPr>
        <w:t>Define the technical architecture and design specifications that will guide the implementation team through the discovery, migration, and optimization phases of the AWS cloud migration project.</w:t>
      </w:r>
    </w:p>
    <w:p>
      <w:pPr>
        <w:pStyle w:val="Heading2"/>
        <w:spacing w:before="240" w:after="120"/>
        <w:ind w:left="0"/>
      </w:pPr>
      <w:r>
        <w:t>1.2 Scope</w:t>
      </w:r>
    </w:p>
    <w:p>
      <w:r>
        <w:rPr>
          <w:rFonts w:ascii="Calibri" w:hAnsi="Calibri"/>
          <w:b/>
          <w:sz w:val="24"/>
        </w:rPr>
        <w:t>In-scope:</w:t>
      </w:r>
    </w:p>
    <w:p>
      <w:pPr>
        <w:spacing w:after="80"/>
        <w:ind w:left="360"/>
      </w:pPr>
      <w:r>
        <w:rPr>
          <w:rFonts w:ascii="Calibri" w:hAnsi="Calibri"/>
          <w:sz w:val="24"/>
        </w:rPr>
        <w:t xml:space="preserve">• </w:t>
      </w:r>
      <w:r>
        <w:rPr>
          <w:rFonts w:ascii="Calibri" w:hAnsi="Calibri"/>
          <w:sz w:val="24"/>
        </w:rPr>
        <w:t>AWS multi-account landing zone architecture with Control Tower</w:t>
      </w:r>
    </w:p>
    <w:p>
      <w:pPr>
        <w:spacing w:after="80"/>
        <w:ind w:left="360"/>
      </w:pPr>
      <w:r>
        <w:rPr>
          <w:rFonts w:ascii="Calibri" w:hAnsi="Calibri"/>
          <w:sz w:val="24"/>
        </w:rPr>
        <w:t xml:space="preserve">• </w:t>
      </w:r>
      <w:r>
        <w:rPr>
          <w:rFonts w:ascii="Calibri" w:hAnsi="Calibri"/>
          <w:sz w:val="24"/>
        </w:rPr>
        <w:t>Migration patterns for 5-10 applications using AWS MGN and DMS</w:t>
      </w:r>
    </w:p>
    <w:p>
      <w:pPr>
        <w:spacing w:after="80"/>
        <w:ind w:left="360"/>
      </w:pPr>
      <w:r>
        <w:rPr>
          <w:rFonts w:ascii="Calibri" w:hAnsi="Calibri"/>
          <w:sz w:val="24"/>
        </w:rPr>
        <w:t xml:space="preserve">• </w:t>
      </w:r>
      <w:r>
        <w:rPr>
          <w:rFonts w:ascii="Calibri" w:hAnsi="Calibri"/>
          <w:sz w:val="24"/>
        </w:rPr>
        <w:t>Target state VPC design with multi-AZ high availability</w:t>
      </w:r>
    </w:p>
    <w:p>
      <w:pPr>
        <w:spacing w:after="80"/>
        <w:ind w:left="360"/>
      </w:pPr>
      <w:r>
        <w:rPr>
          <w:rFonts w:ascii="Calibri" w:hAnsi="Calibri"/>
          <w:sz w:val="24"/>
        </w:rPr>
        <w:t xml:space="preserve">• </w:t>
      </w:r>
      <w:r>
        <w:rPr>
          <w:rFonts w:ascii="Calibri" w:hAnsi="Calibri"/>
          <w:sz w:val="24"/>
        </w:rPr>
        <w:t>Security controls and compliance framework implementation</w:t>
      </w:r>
    </w:p>
    <w:p>
      <w:pPr>
        <w:spacing w:after="80"/>
        <w:ind w:left="360"/>
      </w:pPr>
      <w:r>
        <w:rPr>
          <w:rFonts w:ascii="Calibri" w:hAnsi="Calibri"/>
          <w:sz w:val="24"/>
        </w:rPr>
        <w:t xml:space="preserve">• </w:t>
      </w:r>
      <w:r>
        <w:rPr>
          <w:rFonts w:ascii="Calibri" w:hAnsi="Calibri"/>
          <w:sz w:val="24"/>
        </w:rPr>
        <w:t>Monitoring, logging, and operational procedures</w:t>
      </w:r>
    </w:p>
    <w:p>
      <w:r>
        <w:rPr>
          <w:rFonts w:ascii="Calibri" w:hAnsi="Calibri"/>
          <w:b/>
          <w:sz w:val="24"/>
        </w:rPr>
        <w:t>Out-of-scope:</w:t>
      </w:r>
    </w:p>
    <w:p>
      <w:pPr>
        <w:spacing w:after="80"/>
        <w:ind w:left="360"/>
      </w:pPr>
      <w:r>
        <w:rPr>
          <w:rFonts w:ascii="Calibri" w:hAnsi="Calibri"/>
          <w:sz w:val="24"/>
        </w:rPr>
        <w:t xml:space="preserve">• </w:t>
      </w:r>
      <w:r>
        <w:rPr>
          <w:rFonts w:ascii="Calibri" w:hAnsi="Calibri"/>
          <w:sz w:val="24"/>
        </w:rPr>
        <w:t>Application refactoring or re-architecture (lift-and-shift focus)</w:t>
      </w:r>
    </w:p>
    <w:p>
      <w:pPr>
        <w:spacing w:after="80"/>
        <w:ind w:left="360"/>
      </w:pPr>
      <w:r>
        <w:rPr>
          <w:rFonts w:ascii="Calibri" w:hAnsi="Calibri"/>
          <w:sz w:val="24"/>
        </w:rPr>
        <w:t xml:space="preserve">• </w:t>
      </w:r>
      <w:r>
        <w:rPr>
          <w:rFonts w:ascii="Calibri" w:hAnsi="Calibri"/>
          <w:sz w:val="24"/>
        </w:rPr>
        <w:t>Third-party application licensing</w:t>
      </w:r>
    </w:p>
    <w:p>
      <w:pPr>
        <w:spacing w:after="80"/>
        <w:ind w:left="360"/>
      </w:pPr>
      <w:r>
        <w:rPr>
          <w:rFonts w:ascii="Calibri" w:hAnsi="Calibri"/>
          <w:sz w:val="24"/>
        </w:rPr>
        <w:t xml:space="preserve">• </w:t>
      </w:r>
      <w:r>
        <w:rPr>
          <w:rFonts w:ascii="Calibri" w:hAnsi="Calibri"/>
          <w:sz w:val="24"/>
        </w:rPr>
        <w:t>End-user device management</w:t>
      </w:r>
    </w:p>
    <w:p>
      <w:pPr>
        <w:pStyle w:val="Heading2"/>
        <w:spacing w:before="240" w:after="120"/>
        <w:ind w:left="0"/>
      </w:pPr>
      <w:r>
        <w:t>1.3 Assumptions &amp; Constraints</w:t>
      </w:r>
    </w:p>
    <w:p>
      <w:r>
        <w:rPr>
          <w:rFonts w:ascii="Calibri" w:hAnsi="Calibri"/>
          <w:sz w:val="24"/>
        </w:rPr>
        <w:t>The following assumptions underpin the design and must be validated during implementation.</w:t>
      </w:r>
    </w:p>
    <w:p>
      <w:pPr>
        <w:spacing w:after="80"/>
        <w:ind w:left="360"/>
      </w:pPr>
      <w:r>
        <w:rPr>
          <w:rFonts w:ascii="Calibri" w:hAnsi="Calibri"/>
          <w:sz w:val="24"/>
        </w:rPr>
        <w:t xml:space="preserve">• </w:t>
      </w:r>
      <w:r>
        <w:rPr>
          <w:rFonts w:ascii="Calibri" w:hAnsi="Calibri"/>
          <w:sz w:val="24"/>
        </w:rPr>
        <w:t>Source applications are virtualized and compatible with AWS MGN replication</w:t>
      </w:r>
    </w:p>
    <w:p>
      <w:pPr>
        <w:spacing w:after="80"/>
        <w:ind w:left="360"/>
      </w:pPr>
      <w:r>
        <w:rPr>
          <w:rFonts w:ascii="Calibri" w:hAnsi="Calibri"/>
          <w:sz w:val="24"/>
        </w:rPr>
        <w:t xml:space="preserve">• </w:t>
      </w:r>
      <w:r>
        <w:rPr>
          <w:rFonts w:ascii="Calibri" w:hAnsi="Calibri"/>
          <w:sz w:val="24"/>
        </w:rPr>
        <w:t>Database workloads are supported by AWS DMS for migration</w:t>
      </w:r>
    </w:p>
    <w:p>
      <w:pPr>
        <w:spacing w:after="80"/>
        <w:ind w:left="360"/>
      </w:pPr>
      <w:r>
        <w:rPr>
          <w:rFonts w:ascii="Calibri" w:hAnsi="Calibri"/>
          <w:sz w:val="24"/>
        </w:rPr>
        <w:t xml:space="preserve">• </w:t>
      </w:r>
      <w:r>
        <w:rPr>
          <w:rFonts w:ascii="Calibri" w:hAnsi="Calibri"/>
          <w:sz w:val="24"/>
        </w:rPr>
        <w:t>Network bandwidth sufficient for data transfer within project timeline</w:t>
      </w:r>
    </w:p>
    <w:p>
      <w:pPr>
        <w:spacing w:after="80"/>
        <w:ind w:left="360"/>
      </w:pPr>
      <w:r>
        <w:rPr>
          <w:rFonts w:ascii="Calibri" w:hAnsi="Calibri"/>
          <w:sz w:val="24"/>
        </w:rPr>
        <w:t xml:space="preserve">• </w:t>
      </w:r>
      <w:r>
        <w:rPr>
          <w:rFonts w:ascii="Calibri" w:hAnsi="Calibri"/>
          <w:sz w:val="24"/>
        </w:rPr>
        <w:t>Client IT team available for application testing and validation</w:t>
      </w:r>
    </w:p>
    <w:p>
      <w:pPr>
        <w:spacing w:after="80"/>
        <w:ind w:left="360"/>
      </w:pPr>
      <w:r>
        <w:rPr>
          <w:rFonts w:ascii="Calibri" w:hAnsi="Calibri"/>
          <w:sz w:val="24"/>
        </w:rPr>
        <w:t xml:space="preserve">• </w:t>
      </w:r>
      <w:r>
        <w:rPr>
          <w:rFonts w:ascii="Calibri" w:hAnsi="Calibri"/>
          <w:sz w:val="24"/>
        </w:rPr>
        <w:t>AWS account with appropriate service limits established</w:t>
      </w:r>
    </w:p>
    <w:p>
      <w:pPr>
        <w:pStyle w:val="Heading2"/>
        <w:spacing w:before="240" w:after="120"/>
        <w:ind w:left="0"/>
      </w:pPr>
      <w:r>
        <w:t>1.4 References</w:t>
      </w:r>
    </w:p>
    <w:p>
      <w:r>
        <w:rPr>
          <w:rFonts w:ascii="Calibri" w:hAnsi="Calibri"/>
          <w:sz w:val="24"/>
        </w:rPr>
        <w:t>This document should be read in conjunction with the following related materials.</w:t>
      </w:r>
    </w:p>
    <w:p>
      <w:pPr>
        <w:spacing w:after="80"/>
        <w:ind w:left="360"/>
      </w:pPr>
      <w:r>
        <w:rPr>
          <w:rFonts w:ascii="Calibri" w:hAnsi="Calibri"/>
          <w:sz w:val="24"/>
        </w:rPr>
        <w:t xml:space="preserve">• </w:t>
      </w:r>
      <w:r>
        <w:rPr>
          <w:rFonts w:ascii="Calibri" w:hAnsi="Calibri"/>
          <w:sz w:val="24"/>
        </w:rPr>
        <w:t>Statement of Work (SOW) with migration scope parameters</w:t>
      </w:r>
    </w:p>
    <w:p>
      <w:pPr>
        <w:spacing w:after="80"/>
        <w:ind w:left="360"/>
      </w:pPr>
      <w:r>
        <w:rPr>
          <w:rFonts w:ascii="Calibri" w:hAnsi="Calibri"/>
          <w:sz w:val="24"/>
        </w:rPr>
        <w:t xml:space="preserve">• </w:t>
      </w:r>
      <w:r>
        <w:rPr>
          <w:rFonts w:ascii="Calibri" w:hAnsi="Calibri"/>
          <w:sz w:val="24"/>
        </w:rPr>
        <w:t>AWS Migration Acceleration Program (MAP) methodology</w:t>
      </w:r>
    </w:p>
    <w:p>
      <w:pPr>
        <w:spacing w:after="80"/>
        <w:ind w:left="360"/>
      </w:pPr>
      <w:r>
        <w:rPr>
          <w:rFonts w:ascii="Calibri" w:hAnsi="Calibri"/>
          <w:sz w:val="24"/>
        </w:rPr>
        <w:t xml:space="preserve">• </w:t>
      </w:r>
      <w:r>
        <w:rPr>
          <w:rFonts w:ascii="Calibri" w:hAnsi="Calibri"/>
          <w:sz w:val="24"/>
        </w:rPr>
        <w:t>AWS Well-Architected Framework</w:t>
      </w:r>
    </w:p>
    <w:p>
      <w:pPr>
        <w:spacing w:after="80"/>
        <w:ind w:left="360"/>
      </w:pPr>
      <w:r>
        <w:rPr>
          <w:rFonts w:ascii="Calibri" w:hAnsi="Calibri"/>
          <w:sz w:val="24"/>
        </w:rPr>
        <w:t xml:space="preserve">• </w:t>
      </w:r>
      <w:r>
        <w:rPr>
          <w:rFonts w:ascii="Calibri" w:hAnsi="Calibri"/>
          <w:sz w:val="24"/>
        </w:rPr>
        <w:t>AWS Landing Zone reference architecture</w:t>
      </w:r>
    </w:p>
    <w:p>
      <w:pPr>
        <w:pStyle w:val="Heading1"/>
        <w:spacing w:before="160" w:after="120"/>
        <w:ind w:left="0"/>
      </w:pPr>
      <w:r>
        <w:t>2 Business Context</w:t>
      </w:r>
    </w:p>
    <w:p>
      <w:r>
        <w:rPr>
          <w:rFonts w:ascii="Calibri" w:hAnsi="Calibri"/>
          <w:sz w:val="24"/>
        </w:rPr>
        <w:t>This section establishes the business drivers, success criteria, and compliance requirements that shape the technical design decisions.</w:t>
      </w:r>
    </w:p>
    <w:p>
      <w:pPr>
        <w:pStyle w:val="Heading2"/>
        <w:spacing w:before="240" w:after="120"/>
        <w:ind w:left="0"/>
      </w:pPr>
      <w:r>
        <w:t>2.1 Business Drivers</w:t>
      </w:r>
    </w:p>
    <w:p>
      <w:r>
        <w:rPr>
          <w:rFonts w:ascii="Calibri" w:hAnsi="Calibri"/>
          <w:sz w:val="24"/>
        </w:rPr>
        <w:t>The solution addresses the following key business objectives identified during discovery.</w:t>
      </w:r>
    </w:p>
    <w:p>
      <w:pPr>
        <w:spacing w:after="80"/>
        <w:ind w:left="360"/>
      </w:pPr>
      <w:r>
        <w:rPr>
          <w:rFonts w:ascii="Calibri" w:hAnsi="Calibri"/>
          <w:sz w:val="24"/>
        </w:rPr>
        <w:t xml:space="preserve">• </w:t>
      </w:r>
      <w:r>
        <w:rPr>
          <w:rFonts w:ascii="Calibri" w:hAnsi="Calibri"/>
          <w:b/>
          <w:sz w:val="24"/>
        </w:rPr>
        <w:t>Infrastructure Modernization:</w:t>
      </w:r>
      <w:r>
        <w:rPr>
          <w:rFonts w:ascii="Calibri" w:hAnsi="Calibri"/>
          <w:sz w:val="24"/>
        </w:rPr>
        <w:t xml:space="preserve"> Replace aging on-premise hardware with modern cloud infrastructure</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Achieve 30-40% infrastructure cost reduction through cloud economics</w:t>
      </w:r>
    </w:p>
    <w:p>
      <w:pPr>
        <w:spacing w:after="80"/>
        <w:ind w:left="360"/>
      </w:pPr>
      <w:r>
        <w:rPr>
          <w:rFonts w:ascii="Calibri" w:hAnsi="Calibri"/>
          <w:sz w:val="24"/>
        </w:rPr>
        <w:t xml:space="preserve">• </w:t>
      </w:r>
      <w:r>
        <w:rPr>
          <w:rFonts w:ascii="Calibri" w:hAnsi="Calibri"/>
          <w:b/>
          <w:sz w:val="24"/>
        </w:rPr>
        <w:t>Operational Agility:</w:t>
      </w:r>
      <w:r>
        <w:rPr>
          <w:rFonts w:ascii="Calibri" w:hAnsi="Calibri"/>
          <w:sz w:val="24"/>
        </w:rPr>
        <w:t xml:space="preserve"> Enable rapid provisioning and scaling for business growth</w:t>
      </w:r>
    </w:p>
    <w:p>
      <w:pPr>
        <w:spacing w:after="80"/>
        <w:ind w:left="360"/>
      </w:pPr>
      <w:r>
        <w:rPr>
          <w:rFonts w:ascii="Calibri" w:hAnsi="Calibri"/>
          <w:sz w:val="24"/>
        </w:rPr>
        <w:t xml:space="preserve">• </w:t>
      </w:r>
      <w:r>
        <w:rPr>
          <w:rFonts w:ascii="Calibri" w:hAnsi="Calibri"/>
          <w:b/>
          <w:sz w:val="24"/>
        </w:rPr>
        <w:t>Business Continuity:</w:t>
      </w:r>
      <w:r>
        <w:rPr>
          <w:rFonts w:ascii="Calibri" w:hAnsi="Calibri"/>
          <w:sz w:val="24"/>
        </w:rPr>
        <w:t xml:space="preserve"> Implement multi-AZ architecture for improved availability</w:t>
      </w:r>
    </w:p>
    <w:p>
      <w:pPr>
        <w:spacing w:after="80"/>
        <w:ind w:left="360"/>
      </w:pPr>
      <w:r>
        <w:rPr>
          <w:rFonts w:ascii="Calibri" w:hAnsi="Calibri"/>
          <w:sz w:val="24"/>
        </w:rPr>
        <w:t xml:space="preserve">• </w:t>
      </w:r>
      <w:r>
        <w:rPr>
          <w:rFonts w:ascii="Calibri" w:hAnsi="Calibri"/>
          <w:b/>
          <w:sz w:val="24"/>
        </w:rPr>
        <w:t>IT Transformation:</w:t>
      </w:r>
      <w:r>
        <w:rPr>
          <w:rFonts w:ascii="Calibri" w:hAnsi="Calibri"/>
          <w:sz w:val="24"/>
        </w:rPr>
        <w:t xml:space="preserve"> Free IT resources from maintenance to focus on innovation</w:t>
      </w:r>
    </w:p>
    <w:p>
      <w:pPr>
        <w:pStyle w:val="Heading2"/>
        <w:spacing w:before="240" w:after="120"/>
        <w:ind w:left="0"/>
      </w:pPr>
      <w:r>
        <w:t>2.2 Workload Criticality &amp; SLA Expectations</w:t>
      </w:r>
    </w:p>
    <w:p>
      <w:r>
        <w:rPr>
          <w:rFonts w:ascii="Calibri" w:hAnsi="Calibri"/>
          <w:sz w:val="24"/>
        </w:rPr>
        <w:t>The following service level targets define the operational requirements for the migrated environment.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Measurement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Priority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uptime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Response 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&lt;200ms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Performance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Downtime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 hours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 application cutover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Loss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Zero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Checksum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Service Level Targets</w:t>
      </w:r>
    </w:p>
    <w:p>
      <w:pPr>
        <w:pStyle w:val="Heading2"/>
        <w:spacing w:before="240" w:after="120"/>
        <w:ind w:left="0"/>
      </w:pPr>
      <w:r>
        <w:t>2.3 Compliance &amp; Regulatory Factors</w:t>
      </w:r>
    </w:p>
    <w:p>
      <w:r>
        <w:rPr>
          <w:rFonts w:ascii="Calibri" w:hAnsi="Calibri"/>
          <w:sz w:val="24"/>
        </w:rPr>
        <w:t>The solution must adhere to the following regulatory and compliance requirements.</w:t>
      </w:r>
    </w:p>
    <w:p>
      <w:pPr>
        <w:spacing w:after="80"/>
        <w:ind w:left="360"/>
      </w:pPr>
      <w:r>
        <w:rPr>
          <w:rFonts w:ascii="Calibri" w:hAnsi="Calibri"/>
          <w:sz w:val="24"/>
        </w:rPr>
        <w:t xml:space="preserve">• </w:t>
      </w:r>
      <w:r>
        <w:rPr>
          <w:rFonts w:ascii="Calibri" w:hAnsi="Calibri"/>
          <w:sz w:val="24"/>
        </w:rPr>
        <w:t>SOC 2 Type II compliance for cloud infrastructure controls</w:t>
      </w:r>
    </w:p>
    <w:p>
      <w:pPr>
        <w:spacing w:after="80"/>
        <w:ind w:left="360"/>
      </w:pPr>
      <w:r>
        <w:rPr>
          <w:rFonts w:ascii="Calibri" w:hAnsi="Calibri"/>
          <w:sz w:val="24"/>
        </w:rPr>
        <w:t xml:space="preserve">• </w:t>
      </w:r>
      <w:r>
        <w:rPr>
          <w:rFonts w:ascii="Calibri" w:hAnsi="Calibri"/>
          <w:sz w:val="24"/>
        </w:rPr>
        <w:t>Data residency requirements within continental United States</w:t>
      </w:r>
    </w:p>
    <w:p>
      <w:pPr>
        <w:spacing w:after="80"/>
        <w:ind w:left="360"/>
      </w:pPr>
      <w:r>
        <w:rPr>
          <w:rFonts w:ascii="Calibri" w:hAnsi="Calibri"/>
          <w:sz w:val="24"/>
        </w:rPr>
        <w:t xml:space="preserve">• </w:t>
      </w:r>
      <w:r>
        <w:rPr>
          <w:rFonts w:ascii="Calibri" w:hAnsi="Calibri"/>
          <w:sz w:val="24"/>
        </w:rPr>
        <w:t>Audit logging for all administrative actions via CloudTrail</w:t>
      </w:r>
    </w:p>
    <w:p>
      <w:pPr>
        <w:spacing w:after="80"/>
        <w:ind w:left="360"/>
      </w:pPr>
      <w:r>
        <w:rPr>
          <w:rFonts w:ascii="Calibri" w:hAnsi="Calibri"/>
          <w:sz w:val="24"/>
        </w:rPr>
        <w:t xml:space="preserve">• </w:t>
      </w:r>
      <w:r>
        <w:rPr>
          <w:rFonts w:ascii="Calibri" w:hAnsi="Calibri"/>
          <w:sz w:val="24"/>
        </w:rPr>
        <w:t>Encryption at rest (KMS) and in transit (TLS 1.2+) for all data</w:t>
      </w:r>
    </w:p>
    <w:p>
      <w:pPr>
        <w:pStyle w:val="Heading2"/>
        <w:spacing w:before="240" w:after="120"/>
        <w:ind w:left="0"/>
      </w:pPr>
      <w:r>
        <w:t>2.4 Success Criteria</w:t>
      </w:r>
    </w:p>
    <w:p>
      <w:r>
        <w:rPr>
          <w:rFonts w:ascii="Calibri" w:hAnsi="Calibri"/>
          <w:sz w:val="24"/>
        </w:rPr>
        <w:t>Project success will be measured against the following criteria at go-live.</w:t>
      </w:r>
    </w:p>
    <w:p>
      <w:pPr>
        <w:spacing w:after="80"/>
        <w:ind w:left="360"/>
      </w:pPr>
      <w:r>
        <w:rPr>
          <w:rFonts w:ascii="Calibri" w:hAnsi="Calibri"/>
          <w:sz w:val="24"/>
        </w:rPr>
        <w:t xml:space="preserve">• </w:t>
      </w:r>
      <w:r>
        <w:rPr>
          <w:rFonts w:ascii="Calibri" w:hAnsi="Calibri"/>
          <w:sz w:val="24"/>
        </w:rPr>
        <w:t>All in-scope applications migrated with zero data loss</w:t>
      </w:r>
    </w:p>
    <w:p>
      <w:pPr>
        <w:spacing w:after="80"/>
        <w:ind w:left="360"/>
      </w:pPr>
      <w:r>
        <w:rPr>
          <w:rFonts w:ascii="Calibri" w:hAnsi="Calibri"/>
          <w:sz w:val="24"/>
        </w:rPr>
        <w:t xml:space="preserve">• </w:t>
      </w:r>
      <w:r>
        <w:rPr>
          <w:rFonts w:ascii="Calibri" w:hAnsi="Calibri"/>
          <w:sz w:val="24"/>
        </w:rPr>
        <w:t>Application performance meets or exceeds on-premise baseline</w:t>
      </w:r>
    </w:p>
    <w:p>
      <w:pPr>
        <w:spacing w:after="80"/>
        <w:ind w:left="360"/>
      </w:pPr>
      <w:r>
        <w:rPr>
          <w:rFonts w:ascii="Calibri" w:hAnsi="Calibri"/>
          <w:sz w:val="24"/>
        </w:rPr>
        <w:t xml:space="preserve">• </w:t>
      </w:r>
      <w:r>
        <w:rPr>
          <w:rFonts w:ascii="Calibri" w:hAnsi="Calibri"/>
          <w:sz w:val="24"/>
        </w:rPr>
        <w:t>30-40% infrastructure cost reduction achieved within 12 months</w:t>
      </w:r>
    </w:p>
    <w:p>
      <w:pPr>
        <w:spacing w:after="80"/>
        <w:ind w:left="360"/>
      </w:pPr>
      <w:r>
        <w:rPr>
          <w:rFonts w:ascii="Calibri" w:hAnsi="Calibri"/>
          <w:sz w:val="24"/>
        </w:rPr>
        <w:t xml:space="preserve">• </w:t>
      </w:r>
      <w:r>
        <w:rPr>
          <w:rFonts w:ascii="Calibri" w:hAnsi="Calibri"/>
          <w:sz w:val="24"/>
        </w:rPr>
        <w:t>Operations team capable of managing AWS environment independently</w:t>
      </w:r>
    </w:p>
    <w:p>
      <w:pPr>
        <w:spacing w:after="80"/>
        <w:ind w:left="360"/>
      </w:pPr>
      <w:r>
        <w:rPr>
          <w:rFonts w:ascii="Calibri" w:hAnsi="Calibri"/>
          <w:sz w:val="24"/>
        </w:rPr>
        <w:t xml:space="preserve">• </w:t>
      </w:r>
      <w:r>
        <w:rPr>
          <w:rFonts w:ascii="Calibri" w:hAnsi="Calibri"/>
          <w:sz w:val="24"/>
        </w:rPr>
        <w:t>No critical security findings in post-migration assessment</w:t>
      </w:r>
    </w:p>
    <w:p>
      <w:pPr>
        <w:pStyle w:val="Heading1"/>
        <w:spacing w:before="160" w:after="120"/>
        <w:ind w:left="0"/>
      </w:pPr>
      <w:r>
        <w:t>3 Current-State Assessment</w:t>
      </w:r>
    </w:p>
    <w:p>
      <w:r>
        <w:rPr>
          <w:rFonts w:ascii="Calibri" w:hAnsi="Calibri"/>
          <w:sz w:val="24"/>
        </w:rPr>
        <w:t>This section documents the existing on-premise environment that will be migrated to AWS.</w:t>
      </w:r>
    </w:p>
    <w:p>
      <w:pPr>
        <w:pStyle w:val="Heading2"/>
        <w:spacing w:before="240" w:after="120"/>
        <w:ind w:left="0"/>
      </w:pPr>
      <w:r>
        <w:t>3.1 Application Landscape</w:t>
      </w:r>
    </w:p>
    <w:p>
      <w:r>
        <w:rPr>
          <w:rFonts w:ascii="Calibri" w:hAnsi="Calibri"/>
          <w:sz w:val="24"/>
        </w:rPr>
        <w:t>The current environment consists of applications assessed for migration using 6Rs methodology.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Application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Migration Strategy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Priority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Portal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Customer-facing website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(MGN)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Management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 document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(MGN)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CRM System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Customer relationship management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(MGN)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ERP Application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resource planning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(MGN)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HR System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resources management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(MGN)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Archive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Historical email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Replatform (S3)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Legacy Reporting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intelligence reports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Replatform (RDS)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Manufacturing App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production system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(MGN)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Application Inventory</w:t>
      </w:r>
    </w:p>
    <w:p>
      <w:pPr>
        <w:pStyle w:val="Heading2"/>
        <w:spacing w:before="240" w:after="120"/>
        <w:ind w:left="0"/>
      </w:pPr>
      <w:r>
        <w:t>3.2 Infrastructure Inventory</w:t>
      </w:r>
    </w:p>
    <w:p>
      <w:r>
        <w:rPr>
          <w:rFonts w:ascii="Calibri" w:hAnsi="Calibri"/>
          <w:sz w:val="24"/>
        </w:rPr>
        <w:t>The current on-premise infrastructure to be migrated.</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Specifications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Physical Servers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Various ages, VMware virtualized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Aging hardware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Machines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Windows Server 2016/2019, Linux</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servers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MySQL 5.7, PostgreSQL 12, SQL Server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450 GB</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Storage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NAS with 300 GB application data</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CIFS/NFS shares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switching/routing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1Gbps backbone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Infrastructure Inventory</w:t>
      </w:r>
    </w:p>
    <w:p>
      <w:pPr>
        <w:pStyle w:val="Heading2"/>
        <w:spacing w:before="240" w:after="120"/>
        <w:ind w:left="0"/>
      </w:pPr>
      <w:r>
        <w:t>3.3 Dependencies &amp; Integration Points</w:t>
      </w:r>
    </w:p>
    <w:p>
      <w:r>
        <w:rPr>
          <w:rFonts w:ascii="Calibri" w:hAnsi="Calibri"/>
          <w:sz w:val="24"/>
        </w:rPr>
        <w:t>The current environment has the following dependencies that must be addressed during migration.</w:t>
      </w:r>
    </w:p>
    <w:p>
      <w:pPr>
        <w:spacing w:after="80"/>
        <w:ind w:left="360"/>
      </w:pPr>
      <w:r>
        <w:rPr>
          <w:rFonts w:ascii="Calibri" w:hAnsi="Calibri"/>
          <w:sz w:val="24"/>
        </w:rPr>
        <w:t xml:space="preserve">• </w:t>
      </w:r>
      <w:r>
        <w:rPr>
          <w:rFonts w:ascii="Calibri" w:hAnsi="Calibri"/>
          <w:sz w:val="24"/>
        </w:rPr>
        <w:t>Active Directory for authentication (retain on-premise initially)</w:t>
      </w:r>
    </w:p>
    <w:p>
      <w:pPr>
        <w:spacing w:after="80"/>
        <w:ind w:left="360"/>
      </w:pPr>
      <w:r>
        <w:rPr>
          <w:rFonts w:ascii="Calibri" w:hAnsi="Calibri"/>
          <w:sz w:val="24"/>
        </w:rPr>
        <w:t xml:space="preserve">• </w:t>
      </w:r>
      <w:r>
        <w:rPr>
          <w:rFonts w:ascii="Calibri" w:hAnsi="Calibri"/>
          <w:sz w:val="24"/>
        </w:rPr>
        <w:t>Line-of-business applications with database dependencies</w:t>
      </w:r>
    </w:p>
    <w:p>
      <w:pPr>
        <w:spacing w:after="80"/>
        <w:ind w:left="360"/>
      </w:pPr>
      <w:r>
        <w:rPr>
          <w:rFonts w:ascii="Calibri" w:hAnsi="Calibri"/>
          <w:sz w:val="24"/>
        </w:rPr>
        <w:t xml:space="preserve">• </w:t>
      </w:r>
      <w:r>
        <w:rPr>
          <w:rFonts w:ascii="Calibri" w:hAnsi="Calibri"/>
          <w:sz w:val="24"/>
        </w:rPr>
        <w:t>File share access from desktop clients</w:t>
      </w:r>
    </w:p>
    <w:p>
      <w:pPr>
        <w:spacing w:after="80"/>
        <w:ind w:left="360"/>
      </w:pPr>
      <w:r>
        <w:rPr>
          <w:rFonts w:ascii="Calibri" w:hAnsi="Calibri"/>
          <w:sz w:val="24"/>
        </w:rPr>
        <w:t xml:space="preserve">• </w:t>
      </w:r>
      <w:r>
        <w:rPr>
          <w:rFonts w:ascii="Calibri" w:hAnsi="Calibri"/>
          <w:sz w:val="24"/>
        </w:rPr>
        <w:t>Email integration with Exchange server</w:t>
      </w:r>
    </w:p>
    <w:p>
      <w:pPr>
        <w:spacing w:after="80"/>
        <w:ind w:left="360"/>
      </w:pPr>
      <w:r>
        <w:rPr>
          <w:rFonts w:ascii="Calibri" w:hAnsi="Calibri"/>
          <w:sz w:val="24"/>
        </w:rPr>
        <w:t xml:space="preserve">• </w:t>
      </w:r>
      <w:r>
        <w:rPr>
          <w:rFonts w:ascii="Calibri" w:hAnsi="Calibri"/>
          <w:sz w:val="24"/>
        </w:rPr>
        <w:t>External vendor API connections</w:t>
      </w:r>
    </w:p>
    <w:p>
      <w:pPr>
        <w:pStyle w:val="Heading2"/>
        <w:spacing w:before="240" w:after="120"/>
        <w:ind w:left="0"/>
      </w:pPr>
      <w:r>
        <w:t>3.4 Network Topology</w:t>
      </w:r>
    </w:p>
    <w:p>
      <w:r>
        <w:rPr>
          <w:rFonts w:ascii="Calibri" w:hAnsi="Calibri"/>
          <w:sz w:val="24"/>
        </w:rPr>
        <w:t>Current network uses flat topology with basic segmentation:</w:t>
      </w:r>
    </w:p>
    <w:p>
      <w:pPr>
        <w:spacing w:after="80"/>
        <w:ind w:left="360"/>
      </w:pPr>
      <w:r>
        <w:rPr>
          <w:rFonts w:ascii="Calibri" w:hAnsi="Calibri"/>
          <w:sz w:val="24"/>
        </w:rPr>
        <w:t xml:space="preserve">• </w:t>
      </w:r>
      <w:r>
        <w:rPr>
          <w:rFonts w:ascii="Calibri" w:hAnsi="Calibri"/>
          <w:sz w:val="24"/>
        </w:rPr>
        <w:t>Production VLAN: 10.10.0.0/24</w:t>
      </w:r>
    </w:p>
    <w:p>
      <w:pPr>
        <w:spacing w:after="80"/>
        <w:ind w:left="360"/>
      </w:pPr>
      <w:r>
        <w:rPr>
          <w:rFonts w:ascii="Calibri" w:hAnsi="Calibri"/>
          <w:sz w:val="24"/>
        </w:rPr>
        <w:t xml:space="preserve">• </w:t>
      </w:r>
      <w:r>
        <w:rPr>
          <w:rFonts w:ascii="Calibri" w:hAnsi="Calibri"/>
          <w:sz w:val="24"/>
        </w:rPr>
        <w:t>Database VLAN: 10.10.1.0/24</w:t>
      </w:r>
    </w:p>
    <w:p>
      <w:pPr>
        <w:spacing w:after="80"/>
        <w:ind w:left="360"/>
      </w:pPr>
      <w:r>
        <w:rPr>
          <w:rFonts w:ascii="Calibri" w:hAnsi="Calibri"/>
          <w:sz w:val="24"/>
        </w:rPr>
        <w:t xml:space="preserve">• </w:t>
      </w:r>
      <w:r>
        <w:rPr>
          <w:rFonts w:ascii="Calibri" w:hAnsi="Calibri"/>
          <w:sz w:val="24"/>
        </w:rPr>
        <w:t>Management VLAN: 10.10.2.0/24</w:t>
      </w:r>
    </w:p>
    <w:p>
      <w:pPr>
        <w:spacing w:after="80"/>
        <w:ind w:left="360"/>
      </w:pPr>
      <w:r>
        <w:rPr>
          <w:rFonts w:ascii="Calibri" w:hAnsi="Calibri"/>
          <w:sz w:val="24"/>
        </w:rPr>
        <w:t xml:space="preserve">• </w:t>
      </w:r>
      <w:r>
        <w:rPr>
          <w:rFonts w:ascii="Calibri" w:hAnsi="Calibri"/>
          <w:sz w:val="24"/>
        </w:rPr>
        <w:t>Internet egress via single firewall</w:t>
      </w:r>
    </w:p>
    <w:p>
      <w:pPr>
        <w:spacing w:after="80"/>
        <w:ind w:left="360"/>
      </w:pPr>
      <w:r>
        <w:rPr>
          <w:rFonts w:ascii="Calibri" w:hAnsi="Calibri"/>
          <w:sz w:val="24"/>
        </w:rPr>
        <w:t xml:space="preserve">• </w:t>
      </w:r>
      <w:r>
        <w:rPr>
          <w:rFonts w:ascii="Calibri" w:hAnsi="Calibri"/>
          <w:sz w:val="24"/>
        </w:rPr>
        <w:t>No redundant WAN connectivity</w:t>
      </w:r>
    </w:p>
    <w:p>
      <w:pPr>
        <w:pStyle w:val="Heading2"/>
        <w:spacing w:before="240" w:after="120"/>
        <w:ind w:left="0"/>
      </w:pPr>
      <w:r>
        <w:t>3.5 Security Posture</w:t>
      </w:r>
    </w:p>
    <w:p>
      <w:r>
        <w:rPr>
          <w:rFonts w:ascii="Calibri" w:hAnsi="Calibri"/>
          <w:sz w:val="24"/>
        </w:rPr>
        <w:t>The current security controls that will be enhanced in AWS.</w:t>
      </w:r>
    </w:p>
    <w:p>
      <w:pPr>
        <w:spacing w:after="80"/>
        <w:ind w:left="360"/>
      </w:pPr>
      <w:r>
        <w:rPr>
          <w:rFonts w:ascii="Calibri" w:hAnsi="Calibri"/>
          <w:sz w:val="24"/>
        </w:rPr>
        <w:t xml:space="preserve">• </w:t>
      </w:r>
      <w:r>
        <w:rPr>
          <w:rFonts w:ascii="Calibri" w:hAnsi="Calibri"/>
          <w:sz w:val="24"/>
        </w:rPr>
        <w:t>Perimeter firewall with basic rule set</w:t>
      </w:r>
    </w:p>
    <w:p>
      <w:pPr>
        <w:spacing w:after="80"/>
        <w:ind w:left="360"/>
      </w:pPr>
      <w:r>
        <w:rPr>
          <w:rFonts w:ascii="Calibri" w:hAnsi="Calibri"/>
          <w:sz w:val="24"/>
        </w:rPr>
        <w:t xml:space="preserve">• </w:t>
      </w:r>
      <w:r>
        <w:rPr>
          <w:rFonts w:ascii="Calibri" w:hAnsi="Calibri"/>
          <w:sz w:val="24"/>
        </w:rPr>
        <w:t>Antivirus on all Windows servers</w:t>
      </w:r>
    </w:p>
    <w:p>
      <w:pPr>
        <w:spacing w:after="80"/>
        <w:ind w:left="360"/>
      </w:pPr>
      <w:r>
        <w:rPr>
          <w:rFonts w:ascii="Calibri" w:hAnsi="Calibri"/>
          <w:sz w:val="24"/>
        </w:rPr>
        <w:t xml:space="preserve">• </w:t>
      </w:r>
      <w:r>
        <w:rPr>
          <w:rFonts w:ascii="Calibri" w:hAnsi="Calibri"/>
          <w:sz w:val="24"/>
        </w:rPr>
        <w:t>Annual penetration testing</w:t>
      </w:r>
    </w:p>
    <w:p>
      <w:pPr>
        <w:spacing w:after="80"/>
        <w:ind w:left="360"/>
      </w:pPr>
      <w:r>
        <w:rPr>
          <w:rFonts w:ascii="Calibri" w:hAnsi="Calibri"/>
          <w:sz w:val="24"/>
        </w:rPr>
        <w:t xml:space="preserve">• </w:t>
      </w:r>
      <w:r>
        <w:rPr>
          <w:rFonts w:ascii="Calibri" w:hAnsi="Calibri"/>
          <w:sz w:val="24"/>
        </w:rPr>
        <w:t>Manual patching process (monthly cycle)</w:t>
      </w:r>
    </w:p>
    <w:p>
      <w:pPr>
        <w:spacing w:after="80"/>
        <w:ind w:left="360"/>
      </w:pPr>
      <w:r>
        <w:rPr>
          <w:rFonts w:ascii="Calibri" w:hAnsi="Calibri"/>
          <w:sz w:val="24"/>
        </w:rPr>
        <w:t xml:space="preserve">• </w:t>
      </w:r>
      <w:r>
        <w:rPr>
          <w:rFonts w:ascii="Calibri" w:hAnsi="Calibri"/>
          <w:sz w:val="24"/>
        </w:rPr>
        <w:t>Limited audit logging capabilities</w:t>
      </w:r>
    </w:p>
    <w:p>
      <w:pPr>
        <w:pStyle w:val="Heading2"/>
        <w:spacing w:before="240" w:after="120"/>
        <w:ind w:left="0"/>
      </w:pPr>
      <w:r>
        <w:t>3.6 Performance Baseline</w:t>
      </w:r>
    </w:p>
    <w:p>
      <w:r>
        <w:rPr>
          <w:rFonts w:ascii="Calibri" w:hAnsi="Calibri"/>
          <w:sz w:val="24"/>
        </w:rPr>
        <w:t>Current system performance metrics establish the baseline for post-migration validation.</w:t>
      </w:r>
    </w:p>
    <w:p>
      <w:pPr>
        <w:spacing w:after="80"/>
        <w:ind w:left="360"/>
      </w:pPr>
      <w:r>
        <w:rPr>
          <w:rFonts w:ascii="Calibri" w:hAnsi="Calibri"/>
          <w:sz w:val="24"/>
        </w:rPr>
        <w:t xml:space="preserve">• </w:t>
      </w:r>
      <w:r>
        <w:rPr>
          <w:rFonts w:ascii="Calibri" w:hAnsi="Calibri"/>
          <w:sz w:val="24"/>
        </w:rPr>
        <w:t>Web application response time: 2.3 seconds average</w:t>
      </w:r>
    </w:p>
    <w:p>
      <w:pPr>
        <w:spacing w:after="80"/>
        <w:ind w:left="360"/>
      </w:pPr>
      <w:r>
        <w:rPr>
          <w:rFonts w:ascii="Calibri" w:hAnsi="Calibri"/>
          <w:sz w:val="24"/>
        </w:rPr>
        <w:t xml:space="preserve">• </w:t>
      </w:r>
      <w:r>
        <w:rPr>
          <w:rFonts w:ascii="Calibri" w:hAnsi="Calibri"/>
          <w:sz w:val="24"/>
        </w:rPr>
        <w:t>Database query time: 150ms average</w:t>
      </w:r>
    </w:p>
    <w:p>
      <w:pPr>
        <w:spacing w:after="80"/>
        <w:ind w:left="360"/>
      </w:pPr>
      <w:r>
        <w:rPr>
          <w:rFonts w:ascii="Calibri" w:hAnsi="Calibri"/>
          <w:sz w:val="24"/>
        </w:rPr>
        <w:t xml:space="preserve">• </w:t>
      </w:r>
      <w:r>
        <w:rPr>
          <w:rFonts w:ascii="Calibri" w:hAnsi="Calibri"/>
          <w:sz w:val="24"/>
        </w:rPr>
        <w:t>Peak concurrent users: 200</w:t>
      </w:r>
    </w:p>
    <w:p>
      <w:pPr>
        <w:spacing w:after="80"/>
        <w:ind w:left="360"/>
      </w:pPr>
      <w:r>
        <w:rPr>
          <w:rFonts w:ascii="Calibri" w:hAnsi="Calibri"/>
          <w:sz w:val="24"/>
        </w:rPr>
        <w:t xml:space="preserve">• </w:t>
      </w:r>
      <w:r>
        <w:rPr>
          <w:rFonts w:ascii="Calibri" w:hAnsi="Calibri"/>
          <w:sz w:val="24"/>
        </w:rPr>
        <w:t>Daily transaction volume: 25,000</w:t>
      </w:r>
    </w:p>
    <w:p>
      <w:pPr>
        <w:spacing w:after="80"/>
        <w:ind w:left="360"/>
      </w:pPr>
      <w:r>
        <w:rPr>
          <w:rFonts w:ascii="Calibri" w:hAnsi="Calibri"/>
          <w:sz w:val="24"/>
        </w:rPr>
        <w:t xml:space="preserve">• </w:t>
      </w:r>
      <w:r>
        <w:rPr>
          <w:rFonts w:ascii="Calibri" w:hAnsi="Calibri"/>
          <w:sz w:val="24"/>
        </w:rPr>
        <w:t>Storage growth rate: 15 GB/month</w:t>
      </w:r>
    </w:p>
    <w:p>
      <w:pPr>
        <w:pStyle w:val="Heading1"/>
        <w:spacing w:before="160" w:after="120"/>
        <w:ind w:left="0"/>
      </w:pPr>
      <w:r>
        <w:t>4 Solution Architecture</w:t>
      </w:r>
    </w:p>
    <w:p>
      <w:r>
        <w:rPr>
          <w:rFonts w:ascii="Calibri" w:hAnsi="Calibri"/>
          <w:sz w:val="24"/>
        </w:rPr>
        <w:t>The target architecture implements an AWS landing zone with multi-account structure and migrated workloads following the AWS Well-Architected Framework.</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1546617" cy="3657598"/>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pPr>
        <w:pStyle w:val="Heading2"/>
        <w:spacing w:before="240" w:after="120"/>
        <w:ind w:left="0"/>
      </w:pPr>
      <w:r>
        <w:t>4.1 Architecture Principles</w:t>
      </w:r>
    </w:p>
    <w:p>
      <w:r>
        <w:rPr>
          <w:rFonts w:ascii="Calibri" w:hAnsi="Calibri"/>
          <w:sz w:val="24"/>
        </w:rPr>
        <w:t>The following principles guide all architectural decisions throughout the migration.</w:t>
      </w:r>
    </w:p>
    <w:p>
      <w:pPr>
        <w:spacing w:after="80"/>
        <w:ind w:left="360"/>
      </w:pPr>
      <w:r>
        <w:rPr>
          <w:rFonts w:ascii="Calibri" w:hAnsi="Calibri"/>
          <w:sz w:val="24"/>
        </w:rPr>
        <w:t xml:space="preserve">• </w:t>
      </w:r>
      <w:r>
        <w:rPr>
          <w:rFonts w:ascii="Calibri" w:hAnsi="Calibri"/>
          <w:b/>
          <w:sz w:val="24"/>
        </w:rPr>
        <w:t>Landing Zone Foundation:</w:t>
      </w:r>
      <w:r>
        <w:rPr>
          <w:rFonts w:ascii="Calibri" w:hAnsi="Calibri"/>
          <w:sz w:val="24"/>
        </w:rPr>
        <w:t xml:space="preserve"> AWS Control Tower for multi-account governance</w:t>
      </w:r>
    </w:p>
    <w:p>
      <w:pPr>
        <w:spacing w:after="80"/>
        <w:ind w:left="360"/>
      </w:pPr>
      <w:r>
        <w:rPr>
          <w:rFonts w:ascii="Calibri" w:hAnsi="Calibri"/>
          <w:sz w:val="24"/>
        </w:rPr>
        <w:t xml:space="preserve">• </w:t>
      </w:r>
      <w:r>
        <w:rPr>
          <w:rFonts w:ascii="Calibri" w:hAnsi="Calibri"/>
          <w:b/>
          <w:sz w:val="24"/>
        </w:rPr>
        <w:t>Network Isolation:</w:t>
      </w:r>
      <w:r>
        <w:rPr>
          <w:rFonts w:ascii="Calibri" w:hAnsi="Calibri"/>
          <w:sz w:val="24"/>
        </w:rPr>
        <w:t xml:space="preserve"> VPC design with proper segmentation and security</w:t>
      </w:r>
    </w:p>
    <w:p>
      <w:pPr>
        <w:spacing w:after="80"/>
        <w:ind w:left="360"/>
      </w:pPr>
      <w:r>
        <w:rPr>
          <w:rFonts w:ascii="Calibri" w:hAnsi="Calibri"/>
          <w:sz w:val="24"/>
        </w:rPr>
        <w:t xml:space="preserve">• </w:t>
      </w:r>
      <w:r>
        <w:rPr>
          <w:rFonts w:ascii="Calibri" w:hAnsi="Calibri"/>
          <w:b/>
          <w:sz w:val="24"/>
        </w:rPr>
        <w:t>Lift-and-Shift First:</w:t>
      </w:r>
      <w:r>
        <w:rPr>
          <w:rFonts w:ascii="Calibri" w:hAnsi="Calibri"/>
          <w:sz w:val="24"/>
        </w:rPr>
        <w:t xml:space="preserve"> Minimize application changes during initial migration</w:t>
      </w:r>
    </w:p>
    <w:p>
      <w:pPr>
        <w:spacing w:after="80"/>
        <w:ind w:left="360"/>
      </w:pPr>
      <w:r>
        <w:rPr>
          <w:rFonts w:ascii="Calibri" w:hAnsi="Calibri"/>
          <w:sz w:val="24"/>
        </w:rPr>
        <w:t xml:space="preserve">• </w:t>
      </w:r>
      <w:r>
        <w:rPr>
          <w:rFonts w:ascii="Calibri" w:hAnsi="Calibri"/>
          <w:b/>
          <w:sz w:val="24"/>
        </w:rPr>
        <w:t>Infrastructure as Code:</w:t>
      </w:r>
      <w:r>
        <w:rPr>
          <w:rFonts w:ascii="Calibri" w:hAnsi="Calibri"/>
          <w:sz w:val="24"/>
        </w:rPr>
        <w:t xml:space="preserve"> CloudFormation for repeatable deployments</w:t>
      </w:r>
    </w:p>
    <w:p>
      <w:pPr>
        <w:spacing w:after="80"/>
        <w:ind w:left="360"/>
      </w:pPr>
      <w:r>
        <w:rPr>
          <w:rFonts w:ascii="Calibri" w:hAnsi="Calibri"/>
          <w:sz w:val="24"/>
        </w:rPr>
        <w:t xml:space="preserve">• </w:t>
      </w:r>
      <w:r>
        <w:rPr>
          <w:rFonts w:ascii="Calibri" w:hAnsi="Calibri"/>
          <w:b/>
          <w:sz w:val="24"/>
        </w:rPr>
        <w:t>Operational Excellence:</w:t>
      </w:r>
      <w:r>
        <w:rPr>
          <w:rFonts w:ascii="Calibri" w:hAnsi="Calibri"/>
          <w:sz w:val="24"/>
        </w:rPr>
        <w:t xml:space="preserve"> CloudWatch monitoring and automated remediation</w:t>
      </w:r>
    </w:p>
    <w:p>
      <w:pPr>
        <w:pStyle w:val="Heading2"/>
        <w:spacing w:before="240" w:after="120"/>
        <w:ind w:left="0"/>
      </w:pPr>
      <w:r>
        <w:t>4.2 Architecture Patterns</w:t>
      </w:r>
    </w:p>
    <w:p>
      <w:r>
        <w:rPr>
          <w:rFonts w:ascii="Calibri" w:hAnsi="Calibri"/>
          <w:sz w:val="24"/>
        </w:rPr>
        <w:t>The solution implements the following architectural patterns for migration.</w:t>
      </w:r>
    </w:p>
    <w:p>
      <w:pPr>
        <w:spacing w:after="80"/>
        <w:ind w:left="360"/>
      </w:pPr>
      <w:r>
        <w:rPr>
          <w:rFonts w:ascii="Calibri" w:hAnsi="Calibri"/>
          <w:sz w:val="24"/>
        </w:rPr>
        <w:t xml:space="preserve">• </w:t>
      </w:r>
      <w:r>
        <w:rPr>
          <w:rFonts w:ascii="Calibri" w:hAnsi="Calibri"/>
          <w:b/>
          <w:sz w:val="24"/>
        </w:rPr>
        <w:t>Primary Pattern:</w:t>
      </w:r>
      <w:r>
        <w:rPr>
          <w:rFonts w:ascii="Calibri" w:hAnsi="Calibri"/>
          <w:sz w:val="24"/>
        </w:rPr>
        <w:t xml:space="preserve"> Multi-account landing zone with centralized logging</w:t>
      </w:r>
    </w:p>
    <w:p>
      <w:pPr>
        <w:spacing w:after="80"/>
        <w:ind w:left="360"/>
      </w:pPr>
      <w:r>
        <w:rPr>
          <w:rFonts w:ascii="Calibri" w:hAnsi="Calibri"/>
          <w:sz w:val="24"/>
        </w:rPr>
        <w:t xml:space="preserve">• </w:t>
      </w:r>
      <w:r>
        <w:rPr>
          <w:rFonts w:ascii="Calibri" w:hAnsi="Calibri"/>
          <w:b/>
          <w:sz w:val="24"/>
        </w:rPr>
        <w:t>Compute Pattern:</w:t>
      </w:r>
      <w:r>
        <w:rPr>
          <w:rFonts w:ascii="Calibri" w:hAnsi="Calibri"/>
          <w:sz w:val="24"/>
        </w:rPr>
        <w:t xml:space="preserve"> EC2-based workloads with Auto Scaling Groups</w:t>
      </w:r>
    </w:p>
    <w:p>
      <w:pPr>
        <w:spacing w:after="80"/>
        <w:ind w:left="360"/>
      </w:pPr>
      <w:r>
        <w:rPr>
          <w:rFonts w:ascii="Calibri" w:hAnsi="Calibri"/>
          <w:sz w:val="24"/>
        </w:rPr>
        <w:t xml:space="preserve">• </w:t>
      </w:r>
      <w:r>
        <w:rPr>
          <w:rFonts w:ascii="Calibri" w:hAnsi="Calibri"/>
          <w:b/>
          <w:sz w:val="24"/>
        </w:rPr>
        <w:t>Database Pattern:</w:t>
      </w:r>
      <w:r>
        <w:rPr>
          <w:rFonts w:ascii="Calibri" w:hAnsi="Calibri"/>
          <w:sz w:val="24"/>
        </w:rPr>
        <w:t xml:space="preserve"> Replatform to RDS where beneficial</w:t>
      </w:r>
    </w:p>
    <w:p>
      <w:pPr>
        <w:spacing w:after="80"/>
        <w:ind w:left="360"/>
      </w:pPr>
      <w:r>
        <w:rPr>
          <w:rFonts w:ascii="Calibri" w:hAnsi="Calibri"/>
          <w:sz w:val="24"/>
        </w:rPr>
        <w:t xml:space="preserve">• </w:t>
      </w:r>
      <w:r>
        <w:rPr>
          <w:rFonts w:ascii="Calibri" w:hAnsi="Calibri"/>
          <w:b/>
          <w:sz w:val="24"/>
        </w:rPr>
        <w:t>Network Pattern:</w:t>
      </w:r>
      <w:r>
        <w:rPr>
          <w:rFonts w:ascii="Calibri" w:hAnsi="Calibri"/>
          <w:sz w:val="24"/>
        </w:rPr>
        <w:t xml:space="preserve"> Hub-spoke VPC with Transit Gateway (future)</w:t>
      </w:r>
    </w:p>
    <w:p>
      <w:pPr>
        <w:pStyle w:val="Heading2"/>
        <w:spacing w:before="240" w:after="120"/>
        <w:ind w:left="0"/>
      </w:pPr>
      <w:r>
        <w:t>4.3 Component Design</w:t>
      </w:r>
    </w:p>
    <w:p>
      <w:r>
        <w:rPr>
          <w:rFonts w:ascii="Calibri" w:hAnsi="Calibri"/>
          <w:sz w:val="24"/>
        </w:rPr>
        <w:t>The solution comprises the following components in the AWS environment.</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Scaling</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Control Tower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Multi-account governance</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Organizations, SCPs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Account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VPC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Workload networking</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Subnets, NAT GW</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Account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EC2 Instances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compute</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EC2, AMI, Auto Scaling</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Horizontal</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Databases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 databases</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MySQL, PostgreSQL</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Vertical</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Object storage</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Standard, Glacier</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 Connect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connectivity</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1Gbps dedicated</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Solution Components</w:t>
      </w:r>
    </w:p>
    <w:p>
      <w:pPr>
        <w:pStyle w:val="Heading2"/>
        <w:spacing w:before="240" w:after="120"/>
        <w:ind w:left="0"/>
      </w:pPr>
      <w:r>
        <w:t>4.4 Technology Stack</w:t>
      </w:r>
    </w:p>
    <w:p>
      <w:r>
        <w:rPr>
          <w:rFonts w:ascii="Calibri" w:hAnsi="Calibri"/>
          <w:sz w:val="24"/>
        </w:rPr>
        <w:t>The technology stack leverages AWS native services for reliability and manageability.</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Rationale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Account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Control Tower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Multi-account governance and guardrails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EC2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Compatible with existing workloads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RDS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Managed database with Multi-AZ</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EBS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Scalable storage with lifecycle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Direct Connect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 connectivity and isolation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CloudTrail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Comprehensive observability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Technology Stack</w:t>
      </w:r>
    </w:p>
    <w:p>
      <w:pPr>
        <w:pStyle w:val="Heading1"/>
        <w:spacing w:before="160" w:after="120"/>
        <w:ind w:left="0"/>
      </w:pPr>
      <w:r>
        <w:t>5 Security &amp; Compliance</w:t>
      </w:r>
    </w:p>
    <w:p>
      <w:r>
        <w:rPr>
          <w:rFonts w:ascii="Calibri" w:hAnsi="Calibri"/>
          <w:sz w:val="24"/>
        </w:rPr>
        <w:t>This section details the security controls, compliance mappings, and governance mechanisms for the migrated environment.</w:t>
      </w:r>
    </w:p>
    <w:p>
      <w:pPr>
        <w:pStyle w:val="Heading2"/>
        <w:spacing w:before="240" w:after="120"/>
        <w:ind w:left="0"/>
      </w:pPr>
      <w:r>
        <w:t>5.1 Identity &amp; Access Management</w:t>
      </w:r>
    </w:p>
    <w:p>
      <w:r>
        <w:rPr>
          <w:rFonts w:ascii="Calibri" w:hAnsi="Calibri"/>
          <w:sz w:val="24"/>
        </w:rPr>
        <w:t>Access control follows least privilege principle with centralized identity management.</w:t>
      </w:r>
    </w:p>
    <w:p>
      <w:pPr>
        <w:spacing w:after="80"/>
        <w:ind w:left="360"/>
      </w:pPr>
      <w:r>
        <w:rPr>
          <w:rFonts w:ascii="Calibri" w:hAnsi="Calibri"/>
          <w:sz w:val="24"/>
        </w:rPr>
        <w:t xml:space="preserve">• </w:t>
      </w:r>
      <w:r>
        <w:rPr>
          <w:rFonts w:ascii="Calibri" w:hAnsi="Calibri"/>
          <w:b/>
          <w:sz w:val="24"/>
        </w:rPr>
        <w:t>Authentication:</w:t>
      </w:r>
      <w:r>
        <w:rPr>
          <w:rFonts w:ascii="Calibri" w:hAnsi="Calibri"/>
          <w:sz w:val="24"/>
        </w:rPr>
        <w:t xml:space="preserve"> AWS IAM for service accounts, federation for users</w:t>
      </w:r>
    </w:p>
    <w:p>
      <w:pPr>
        <w:spacing w:after="80"/>
        <w:ind w:left="360"/>
      </w:pPr>
      <w:r>
        <w:rPr>
          <w:rFonts w:ascii="Calibri" w:hAnsi="Calibri"/>
          <w:sz w:val="24"/>
        </w:rPr>
        <w:t xml:space="preserve">• </w:t>
      </w:r>
      <w:r>
        <w:rPr>
          <w:rFonts w:ascii="Calibri" w:hAnsi="Calibri"/>
          <w:b/>
          <w:sz w:val="24"/>
        </w:rPr>
        <w:t>Authorization:</w:t>
      </w:r>
      <w:r>
        <w:rPr>
          <w:rFonts w:ascii="Calibri" w:hAnsi="Calibri"/>
          <w:sz w:val="24"/>
        </w:rPr>
        <w:t xml:space="preserve"> IAM policies with least privilege</w:t>
      </w:r>
    </w:p>
    <w:p>
      <w:pPr>
        <w:spacing w:after="80"/>
        <w:ind w:left="360"/>
      </w:pPr>
      <w:r>
        <w:rPr>
          <w:rFonts w:ascii="Calibri" w:hAnsi="Calibri"/>
          <w:sz w:val="24"/>
        </w:rPr>
        <w:t xml:space="preserve">• </w:t>
      </w:r>
      <w:r>
        <w:rPr>
          <w:rFonts w:ascii="Calibri" w:hAnsi="Calibri"/>
          <w:b/>
          <w:sz w:val="24"/>
        </w:rPr>
        <w:t>MFA:</w:t>
      </w:r>
      <w:r>
        <w:rPr>
          <w:rFonts w:ascii="Calibri" w:hAnsi="Calibri"/>
          <w:sz w:val="24"/>
        </w:rPr>
        <w:t xml:space="preserve"> Required for all console access</w:t>
      </w:r>
    </w:p>
    <w:p>
      <w:pPr>
        <w:spacing w:after="80"/>
        <w:ind w:left="360"/>
      </w:pPr>
      <w:r>
        <w:rPr>
          <w:rFonts w:ascii="Calibri" w:hAnsi="Calibri"/>
          <w:sz w:val="24"/>
        </w:rPr>
        <w:t xml:space="preserve">• </w:t>
      </w:r>
      <w:r>
        <w:rPr>
          <w:rFonts w:ascii="Calibri" w:hAnsi="Calibri"/>
          <w:b/>
          <w:sz w:val="24"/>
        </w:rPr>
        <w:t>Service Accounts:</w:t>
      </w:r>
      <w:r>
        <w:rPr>
          <w:rFonts w:ascii="Calibri" w:hAnsi="Calibri"/>
          <w:sz w:val="24"/>
        </w:rPr>
        <w:t xml:space="preserve"> IAM roles for EC2 instances</w:t>
      </w:r>
    </w:p>
    <w:p>
      <w:pPr>
        <w:pStyle w:val="Heading3"/>
        <w:spacing w:before="160" w:after="120"/>
        <w:ind w:left="0"/>
      </w:pPr>
      <w:r>
        <w:t>5.1.1 Role Definitions</w:t>
      </w:r>
    </w:p>
    <w:p>
      <w:r>
        <w:rPr>
          <w:rFonts w:ascii="Calibri" w:hAnsi="Calibri"/>
          <w:sz w:val="24"/>
        </w:rPr>
        <w:t>The following roles define access levels for cloud operations.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Permissions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Administrator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access to AWS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accounts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Administrator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and connectivity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account</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Administrator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management and access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account</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Read access, basic troubleshooting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account</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Read-only for compliance review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accounts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Role Permissions</w:t>
      </w:r>
    </w:p>
    <w:p>
      <w:pPr>
        <w:pStyle w:val="Heading2"/>
        <w:spacing w:before="240" w:after="120"/>
        <w:ind w:left="0"/>
      </w:pPr>
      <w:r>
        <w:t>5.2 Secrets Management</w:t>
      </w:r>
    </w:p>
    <w:p>
      <w:r>
        <w:rPr>
          <w:rFonts w:ascii="Calibri" w:hAnsi="Calibri"/>
          <w:sz w:val="24"/>
        </w:rPr>
        <w:t>All sensitive credentials are managed through AWS Secrets Manager.</w:t>
      </w:r>
    </w:p>
    <w:p>
      <w:pPr>
        <w:spacing w:after="80"/>
        <w:ind w:left="360"/>
      </w:pPr>
      <w:r>
        <w:rPr>
          <w:rFonts w:ascii="Calibri" w:hAnsi="Calibri"/>
          <w:sz w:val="24"/>
        </w:rPr>
        <w:t xml:space="preserve">• </w:t>
      </w:r>
      <w:r>
        <w:rPr>
          <w:rFonts w:ascii="Calibri" w:hAnsi="Calibri"/>
          <w:sz w:val="24"/>
        </w:rPr>
        <w:t>Database credentials stored in Secrets Manager</w:t>
      </w:r>
    </w:p>
    <w:p>
      <w:pPr>
        <w:spacing w:after="80"/>
        <w:ind w:left="360"/>
      </w:pPr>
      <w:r>
        <w:rPr>
          <w:rFonts w:ascii="Calibri" w:hAnsi="Calibri"/>
          <w:sz w:val="24"/>
        </w:rPr>
        <w:t xml:space="preserve">• </w:t>
      </w:r>
      <w:r>
        <w:rPr>
          <w:rFonts w:ascii="Calibri" w:hAnsi="Calibri"/>
          <w:sz w:val="24"/>
        </w:rPr>
        <w:t>Automatic rotation configured (30-day cycle)</w:t>
      </w:r>
    </w:p>
    <w:p>
      <w:pPr>
        <w:spacing w:after="80"/>
        <w:ind w:left="360"/>
      </w:pPr>
      <w:r>
        <w:rPr>
          <w:rFonts w:ascii="Calibri" w:hAnsi="Calibri"/>
          <w:sz w:val="24"/>
        </w:rPr>
        <w:t xml:space="preserve">• </w:t>
      </w:r>
      <w:r>
        <w:rPr>
          <w:rFonts w:ascii="Calibri" w:hAnsi="Calibri"/>
          <w:sz w:val="24"/>
        </w:rPr>
        <w:t>No hardcoded credentials in applications or scripts</w:t>
      </w:r>
    </w:p>
    <w:p>
      <w:pPr>
        <w:spacing w:after="80"/>
        <w:ind w:left="360"/>
      </w:pPr>
      <w:r>
        <w:rPr>
          <w:rFonts w:ascii="Calibri" w:hAnsi="Calibri"/>
          <w:sz w:val="24"/>
        </w:rPr>
        <w:t xml:space="preserve">• </w:t>
      </w:r>
      <w:r>
        <w:rPr>
          <w:rFonts w:ascii="Calibri" w:hAnsi="Calibri"/>
          <w:sz w:val="24"/>
        </w:rPr>
        <w:t>Application retrieval via IAM role-based access</w:t>
      </w:r>
    </w:p>
    <w:p>
      <w:pPr>
        <w:pStyle w:val="Heading2"/>
        <w:spacing w:before="240" w:after="120"/>
        <w:ind w:left="0"/>
      </w:pPr>
      <w:r>
        <w:t>5.3 Network Security</w:t>
      </w:r>
    </w:p>
    <w:p>
      <w:r>
        <w:rPr>
          <w:rFonts w:ascii="Calibri" w:hAnsi="Calibri"/>
          <w:sz w:val="24"/>
        </w:rPr>
        <w:t>Network security implements defense-in-depth with multiple control layers.</w:t>
      </w:r>
    </w:p>
    <w:p>
      <w:pPr>
        <w:spacing w:after="80"/>
        <w:ind w:left="360"/>
      </w:pPr>
      <w:r>
        <w:rPr>
          <w:rFonts w:ascii="Calibri" w:hAnsi="Calibri"/>
          <w:sz w:val="24"/>
        </w:rPr>
        <w:t xml:space="preserve">• </w:t>
      </w:r>
      <w:r>
        <w:rPr>
          <w:rFonts w:ascii="Calibri" w:hAnsi="Calibri"/>
          <w:b/>
          <w:sz w:val="24"/>
        </w:rPr>
        <w:t>VPC Design:</w:t>
      </w:r>
      <w:r>
        <w:rPr>
          <w:rFonts w:ascii="Calibri" w:hAnsi="Calibri"/>
          <w:sz w:val="24"/>
        </w:rPr>
        <w:t xml:space="preserve"> Isolated VPC with public/private subnet tiers</w:t>
      </w:r>
    </w:p>
    <w:p>
      <w:pPr>
        <w:spacing w:after="80"/>
        <w:ind w:left="360"/>
      </w:pPr>
      <w:r>
        <w:rPr>
          <w:rFonts w:ascii="Calibri" w:hAnsi="Calibri"/>
          <w:sz w:val="24"/>
        </w:rPr>
        <w:t xml:space="preserve">• </w:t>
      </w:r>
      <w:r>
        <w:rPr>
          <w:rFonts w:ascii="Calibri" w:hAnsi="Calibri"/>
          <w:b/>
          <w:sz w:val="24"/>
        </w:rPr>
        <w:t>Security Groups:</w:t>
      </w:r>
      <w:r>
        <w:rPr>
          <w:rFonts w:ascii="Calibri" w:hAnsi="Calibri"/>
          <w:sz w:val="24"/>
        </w:rPr>
        <w:t xml:space="preserve"> Stateful firewall rules per application tier</w:t>
      </w:r>
    </w:p>
    <w:p>
      <w:pPr>
        <w:spacing w:after="80"/>
        <w:ind w:left="360"/>
      </w:pPr>
      <w:r>
        <w:rPr>
          <w:rFonts w:ascii="Calibri" w:hAnsi="Calibri"/>
          <w:sz w:val="24"/>
        </w:rPr>
        <w:t xml:space="preserve">• </w:t>
      </w:r>
      <w:r>
        <w:rPr>
          <w:rFonts w:ascii="Calibri" w:hAnsi="Calibri"/>
          <w:b/>
          <w:sz w:val="24"/>
        </w:rPr>
        <w:t>NACLs:</w:t>
      </w:r>
      <w:r>
        <w:rPr>
          <w:rFonts w:ascii="Calibri" w:hAnsi="Calibri"/>
          <w:sz w:val="24"/>
        </w:rPr>
        <w:t xml:space="preserve"> Subnet-level access control for database tier</w:t>
      </w:r>
    </w:p>
    <w:p>
      <w:pPr>
        <w:spacing w:after="80"/>
        <w:ind w:left="360"/>
      </w:pPr>
      <w:r>
        <w:rPr>
          <w:rFonts w:ascii="Calibri" w:hAnsi="Calibri"/>
          <w:sz w:val="24"/>
        </w:rPr>
        <w:t xml:space="preserve">• </w:t>
      </w:r>
      <w:r>
        <w:rPr>
          <w:rFonts w:ascii="Calibri" w:hAnsi="Calibri"/>
          <w:b/>
          <w:sz w:val="24"/>
        </w:rPr>
        <w:t>VPC Endpoints:</w:t>
      </w:r>
      <w:r>
        <w:rPr>
          <w:rFonts w:ascii="Calibri" w:hAnsi="Calibri"/>
          <w:sz w:val="24"/>
        </w:rPr>
        <w:t xml:space="preserve"> Private access to S3 and other AWS services</w:t>
      </w:r>
    </w:p>
    <w:p>
      <w:pPr>
        <w:pStyle w:val="Heading2"/>
        <w:spacing w:before="240" w:after="120"/>
        <w:ind w:left="0"/>
      </w:pPr>
      <w:r>
        <w:t>5.4 Data Protection</w:t>
      </w:r>
    </w:p>
    <w:p>
      <w:r>
        <w:rPr>
          <w:rFonts w:ascii="Calibri" w:hAnsi="Calibri"/>
          <w:sz w:val="24"/>
        </w:rPr>
        <w:t>Data protection controls ensure confidentiality at rest and in transit.</w:t>
      </w:r>
    </w:p>
    <w:p>
      <w:pPr>
        <w:spacing w:after="80"/>
        <w:ind w:left="360"/>
      </w:pPr>
      <w:r>
        <w:rPr>
          <w:rFonts w:ascii="Calibri" w:hAnsi="Calibri"/>
          <w:sz w:val="24"/>
        </w:rPr>
        <w:t xml:space="preserve">• </w:t>
      </w:r>
      <w:r>
        <w:rPr>
          <w:rFonts w:ascii="Calibri" w:hAnsi="Calibri"/>
          <w:b/>
          <w:sz w:val="24"/>
        </w:rPr>
        <w:t>Encryption at Rest:</w:t>
      </w:r>
      <w:r>
        <w:rPr>
          <w:rFonts w:ascii="Calibri" w:hAnsi="Calibri"/>
          <w:sz w:val="24"/>
        </w:rPr>
        <w:t xml:space="preserve"> KMS CMK for EBS, RDS, and S3</w:t>
      </w:r>
    </w:p>
    <w:p>
      <w:pPr>
        <w:spacing w:after="80"/>
        <w:ind w:left="360"/>
      </w:pPr>
      <w:r>
        <w:rPr>
          <w:rFonts w:ascii="Calibri" w:hAnsi="Calibri"/>
          <w:sz w:val="24"/>
        </w:rPr>
        <w:t xml:space="preserve">• </w:t>
      </w:r>
      <w:r>
        <w:rPr>
          <w:rFonts w:ascii="Calibri" w:hAnsi="Calibri"/>
          <w:b/>
          <w:sz w:val="24"/>
        </w:rPr>
        <w:t>Encryption in Transit:</w:t>
      </w:r>
      <w:r>
        <w:rPr>
          <w:rFonts w:ascii="Calibri" w:hAnsi="Calibri"/>
          <w:sz w:val="24"/>
        </w:rPr>
        <w:t xml:space="preserve"> TLS 1.2+ for all communications</w:t>
      </w:r>
    </w:p>
    <w:p>
      <w:pPr>
        <w:spacing w:after="80"/>
        <w:ind w:left="360"/>
      </w:pPr>
      <w:r>
        <w:rPr>
          <w:rFonts w:ascii="Calibri" w:hAnsi="Calibri"/>
          <w:sz w:val="24"/>
        </w:rPr>
        <w:t xml:space="preserve">• </w:t>
      </w:r>
      <w:r>
        <w:rPr>
          <w:rFonts w:ascii="Calibri" w:hAnsi="Calibri"/>
          <w:b/>
          <w:sz w:val="24"/>
        </w:rPr>
        <w:t>Key Management:</w:t>
      </w:r>
      <w:r>
        <w:rPr>
          <w:rFonts w:ascii="Calibri" w:hAnsi="Calibri"/>
          <w:sz w:val="24"/>
        </w:rPr>
        <w:t xml:space="preserve"> AWS KMS with automatic rotation</w:t>
      </w:r>
    </w:p>
    <w:p>
      <w:pPr>
        <w:spacing w:after="80"/>
        <w:ind w:left="360"/>
      </w:pPr>
      <w:r>
        <w:rPr>
          <w:rFonts w:ascii="Calibri" w:hAnsi="Calibri"/>
          <w:sz w:val="24"/>
        </w:rPr>
        <w:t xml:space="preserve">• </w:t>
      </w:r>
      <w:r>
        <w:rPr>
          <w:rFonts w:ascii="Calibri" w:hAnsi="Calibri"/>
          <w:b/>
          <w:sz w:val="24"/>
        </w:rPr>
        <w:t>Backup Encryption:</w:t>
      </w:r>
      <w:r>
        <w:rPr>
          <w:rFonts w:ascii="Calibri" w:hAnsi="Calibri"/>
          <w:sz w:val="24"/>
        </w:rPr>
        <w:t xml:space="preserve"> All backups encrypted with KMS</w:t>
      </w:r>
    </w:p>
    <w:p>
      <w:pPr>
        <w:pStyle w:val="Heading2"/>
        <w:spacing w:before="240" w:after="120"/>
        <w:ind w:left="0"/>
      </w:pPr>
      <w:r>
        <w:t>5.5 Compliance Mappings</w:t>
      </w:r>
    </w:p>
    <w:p>
      <w:r>
        <w:rPr>
          <w:rFonts w:ascii="Calibri" w:hAnsi="Calibri"/>
          <w:sz w:val="24"/>
        </w:rPr>
        <w:t>The following table maps compliance requirements to AWS implementation controls.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Framework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control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policies with MFA, CloudTrail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Change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Config rules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protection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encryption, Secrets Manager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Security Hub</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Compliance Requirements</w:t>
      </w:r>
    </w:p>
    <w:p>
      <w:pPr>
        <w:pStyle w:val="Heading2"/>
        <w:spacing w:before="240" w:after="120"/>
        <w:ind w:left="0"/>
      </w:pPr>
      <w:r>
        <w:t>5.6 Audit Logging &amp; SIEM Integration</w:t>
      </w:r>
    </w:p>
    <w:p>
      <w:r>
        <w:rPr>
          <w:rFonts w:ascii="Calibri" w:hAnsi="Calibri"/>
          <w:sz w:val="24"/>
        </w:rPr>
        <w:t>Comprehensive audit logging supports security monitoring and compliance.</w:t>
      </w:r>
    </w:p>
    <w:p>
      <w:pPr>
        <w:spacing w:after="80"/>
        <w:ind w:left="360"/>
      </w:pPr>
      <w:r>
        <w:rPr>
          <w:rFonts w:ascii="Calibri" w:hAnsi="Calibri"/>
          <w:sz w:val="24"/>
        </w:rPr>
        <w:t xml:space="preserve">• </w:t>
      </w:r>
      <w:r>
        <w:rPr>
          <w:rFonts w:ascii="Calibri" w:hAnsi="Calibri"/>
          <w:sz w:val="24"/>
        </w:rPr>
        <w:t>CloudTrail enabled in all accounts capturing API activity</w:t>
      </w:r>
    </w:p>
    <w:p>
      <w:pPr>
        <w:spacing w:after="80"/>
        <w:ind w:left="360"/>
      </w:pPr>
      <w:r>
        <w:rPr>
          <w:rFonts w:ascii="Calibri" w:hAnsi="Calibri"/>
          <w:sz w:val="24"/>
        </w:rPr>
        <w:t xml:space="preserve">• </w:t>
      </w:r>
      <w:r>
        <w:rPr>
          <w:rFonts w:ascii="Calibri" w:hAnsi="Calibri"/>
          <w:sz w:val="24"/>
        </w:rPr>
        <w:t>CloudWatch Logs for application and system logs</w:t>
      </w:r>
    </w:p>
    <w:p>
      <w:pPr>
        <w:spacing w:after="80"/>
        <w:ind w:left="360"/>
      </w:pPr>
      <w:r>
        <w:rPr>
          <w:rFonts w:ascii="Calibri" w:hAnsi="Calibri"/>
          <w:sz w:val="24"/>
        </w:rPr>
        <w:t xml:space="preserve">• </w:t>
      </w:r>
      <w:r>
        <w:rPr>
          <w:rFonts w:ascii="Calibri" w:hAnsi="Calibri"/>
          <w:sz w:val="24"/>
        </w:rPr>
        <w:t>VPC Flow Logs for network traffic analysis</w:t>
      </w:r>
    </w:p>
    <w:p>
      <w:pPr>
        <w:spacing w:after="80"/>
        <w:ind w:left="360"/>
      </w:pPr>
      <w:r>
        <w:rPr>
          <w:rFonts w:ascii="Calibri" w:hAnsi="Calibri"/>
          <w:sz w:val="24"/>
        </w:rPr>
        <w:t xml:space="preserve">• </w:t>
      </w:r>
      <w:r>
        <w:rPr>
          <w:rFonts w:ascii="Calibri" w:hAnsi="Calibri"/>
          <w:sz w:val="24"/>
        </w:rPr>
        <w:t>Log retention: 90 days in CloudWatch, 1 year in S3</w:t>
      </w:r>
    </w:p>
    <w:p>
      <w:pPr>
        <w:pStyle w:val="Heading1"/>
        <w:spacing w:before="160" w:after="120"/>
        <w:ind w:left="0"/>
      </w:pPr>
      <w:r>
        <w:t>6 Data Architecture</w:t>
      </w:r>
    </w:p>
    <w:p>
      <w:r>
        <w:rPr>
          <w:rFonts w:ascii="Calibri" w:hAnsi="Calibri"/>
          <w:sz w:val="24"/>
        </w:rPr>
        <w:t>This section defines the data migration strategy and storage design for the target environment.</w:t>
      </w:r>
    </w:p>
    <w:p>
      <w:pPr>
        <w:pStyle w:val="Heading2"/>
        <w:spacing w:before="240" w:after="120"/>
        <w:ind w:left="0"/>
      </w:pPr>
      <w:r>
        <w:t>6.1 Data Model</w:t>
      </w:r>
    </w:p>
    <w:p>
      <w:pPr>
        <w:pStyle w:val="Heading3"/>
        <w:spacing w:before="160" w:after="120"/>
        <w:ind w:left="0"/>
      </w:pPr>
      <w:r>
        <w:t>6.1.1 Migration Strategy by Data Type</w:t>
      </w:r>
    </w:p>
    <w:p>
      <w:r>
        <w:rPr>
          <w:rFonts w:ascii="Calibri" w:hAnsi="Calibri"/>
          <w:sz w:val="24"/>
        </w:rPr>
        <w:t>The solution migrates the following data categories:</w:t>
      </w:r>
    </w:p>
    <w:p>
      <w:pPr>
        <w:spacing w:after="80"/>
        <w:ind w:left="360"/>
      </w:pPr>
      <w:r>
        <w:rPr>
          <w:rFonts w:ascii="Calibri" w:hAnsi="Calibri"/>
          <w:sz w:val="24"/>
        </w:rPr>
        <w:t xml:space="preserve">• </w:t>
      </w:r>
      <w:r>
        <w:rPr>
          <w:rFonts w:ascii="Calibri" w:hAnsi="Calibri"/>
          <w:b/>
          <w:sz w:val="24"/>
        </w:rPr>
        <w:t>Database:</w:t>
      </w:r>
      <w:r>
        <w:rPr>
          <w:rFonts w:ascii="Calibri" w:hAnsi="Calibri"/>
          <w:sz w:val="24"/>
        </w:rPr>
        <w:t xml:space="preserve"> AWS DMS for continuous replication during migration</w:t>
      </w:r>
    </w:p>
    <w:p>
      <w:pPr>
        <w:spacing w:after="80"/>
        <w:ind w:left="360"/>
      </w:pPr>
      <w:r>
        <w:rPr>
          <w:rFonts w:ascii="Calibri" w:hAnsi="Calibri"/>
          <w:sz w:val="24"/>
        </w:rPr>
        <w:t xml:space="preserve">• </w:t>
      </w:r>
      <w:r>
        <w:rPr>
          <w:rFonts w:ascii="Calibri" w:hAnsi="Calibri"/>
          <w:b/>
          <w:sz w:val="24"/>
        </w:rPr>
        <w:t>File Storage:</w:t>
      </w:r>
      <w:r>
        <w:rPr>
          <w:rFonts w:ascii="Calibri" w:hAnsi="Calibri"/>
          <w:sz w:val="24"/>
        </w:rPr>
        <w:t xml:space="preserve"> AWS DataSync for bulk file transfer</w:t>
      </w:r>
    </w:p>
    <w:p>
      <w:pPr>
        <w:spacing w:after="80"/>
        <w:ind w:left="360"/>
      </w:pPr>
      <w:r>
        <w:rPr>
          <w:rFonts w:ascii="Calibri" w:hAnsi="Calibri"/>
          <w:sz w:val="24"/>
        </w:rPr>
        <w:t xml:space="preserve">• </w:t>
      </w:r>
      <w:r>
        <w:rPr>
          <w:rFonts w:ascii="Calibri" w:hAnsi="Calibri"/>
          <w:b/>
          <w:sz w:val="24"/>
        </w:rPr>
        <w:t>Application Data:</w:t>
      </w:r>
      <w:r>
        <w:rPr>
          <w:rFonts w:ascii="Calibri" w:hAnsi="Calibri"/>
          <w:sz w:val="24"/>
        </w:rPr>
        <w:t xml:space="preserve"> Migrated with application via AWS MGN</w:t>
      </w:r>
    </w:p>
    <w:p>
      <w:pPr>
        <w:spacing w:after="80"/>
        <w:ind w:left="360"/>
      </w:pPr>
      <w:r>
        <w:rPr>
          <w:rFonts w:ascii="Calibri" w:hAnsi="Calibri"/>
          <w:sz w:val="24"/>
        </w:rPr>
        <w:t xml:space="preserve">• </w:t>
      </w:r>
      <w:r>
        <w:rPr>
          <w:rFonts w:ascii="Calibri" w:hAnsi="Calibri"/>
          <w:b/>
          <w:sz w:val="24"/>
        </w:rPr>
        <w:t>Archive Data:</w:t>
      </w:r>
      <w:r>
        <w:rPr>
          <w:rFonts w:ascii="Calibri" w:hAnsi="Calibri"/>
          <w:sz w:val="24"/>
        </w:rPr>
        <w:t xml:space="preserve"> S3 for long-term storage with Glacier lifecycle</w:t>
      </w:r>
    </w:p>
    <w:p>
      <w:pPr>
        <w:pStyle w:val="Heading3"/>
        <w:spacing w:before="160" w:after="120"/>
        <w:ind w:left="0"/>
      </w:pPr>
      <w:r>
        <w:t>6.1.2 Data Volume Estimates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 Type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Current Size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Growth Rate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Service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450 GB</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GB/month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RDS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 GB</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GB/month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Data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GB</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GB/month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EBS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 GB</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GB/month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Various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Gap Analysis</w:t>
      </w:r>
    </w:p>
    <w:p>
      <w:pPr>
        <w:pStyle w:val="Heading2"/>
        <w:spacing w:before="240" w:after="120"/>
        <w:ind w:left="0"/>
      </w:pPr>
      <w:r>
        <w:t>6.2 Data Flow Design</w:t>
      </w:r>
    </w:p>
    <w:p>
      <w:pPr>
        <w:spacing w:after="80"/>
        <w:ind w:left="360"/>
      </w:pPr>
      <w:r>
        <w:rPr>
          <w:rFonts w:ascii="Calibri" w:hAnsi="Calibri"/>
          <w:sz w:val="24"/>
        </w:rPr>
        <w:t xml:space="preserve">1. </w:t>
      </w:r>
      <w:r>
        <w:rPr>
          <w:rFonts w:ascii="Calibri" w:hAnsi="Calibri"/>
          <w:b/>
          <w:sz w:val="24"/>
        </w:rPr>
        <w:t>Initial Replication:</w:t>
      </w:r>
      <w:r>
        <w:rPr>
          <w:rFonts w:ascii="Calibri" w:hAnsi="Calibri"/>
          <w:sz w:val="24"/>
        </w:rPr>
        <w:t xml:space="preserve"> Full data sync during migration window</w:t>
      </w:r>
    </w:p>
    <w:p>
      <w:pPr>
        <w:spacing w:after="80"/>
        <w:ind w:left="360"/>
      </w:pPr>
      <w:r>
        <w:rPr>
          <w:rFonts w:ascii="Calibri" w:hAnsi="Calibri"/>
          <w:sz w:val="24"/>
        </w:rPr>
        <w:t xml:space="preserve">2. </w:t>
      </w:r>
      <w:r>
        <w:rPr>
          <w:rFonts w:ascii="Calibri" w:hAnsi="Calibri"/>
          <w:b/>
          <w:sz w:val="24"/>
        </w:rPr>
        <w:t>Continuous Sync:</w:t>
      </w:r>
      <w:r>
        <w:rPr>
          <w:rFonts w:ascii="Calibri" w:hAnsi="Calibri"/>
          <w:sz w:val="24"/>
        </w:rPr>
        <w:t xml:space="preserve"> DMS CDC for databases until cutover</w:t>
      </w:r>
    </w:p>
    <w:p>
      <w:pPr>
        <w:spacing w:after="80"/>
        <w:ind w:left="360"/>
      </w:pPr>
      <w:r>
        <w:rPr>
          <w:rFonts w:ascii="Calibri" w:hAnsi="Calibri"/>
          <w:sz w:val="24"/>
        </w:rPr>
        <w:t xml:space="preserve">3. </w:t>
      </w:r>
      <w:r>
        <w:rPr>
          <w:rFonts w:ascii="Calibri" w:hAnsi="Calibri"/>
          <w:b/>
          <w:sz w:val="24"/>
        </w:rPr>
        <w:t>Cutover:</w:t>
      </w:r>
      <w:r>
        <w:rPr>
          <w:rFonts w:ascii="Calibri" w:hAnsi="Calibri"/>
          <w:sz w:val="24"/>
        </w:rPr>
        <w:t xml:space="preserve"> Final sync and DNS cutover</w:t>
      </w:r>
    </w:p>
    <w:p>
      <w:pPr>
        <w:spacing w:after="80"/>
        <w:ind w:left="360"/>
      </w:pPr>
      <w:r>
        <w:rPr>
          <w:rFonts w:ascii="Calibri" w:hAnsi="Calibri"/>
          <w:sz w:val="24"/>
        </w:rPr>
        <w:t xml:space="preserve">4. </w:t>
      </w:r>
      <w:r>
        <w:rPr>
          <w:rFonts w:ascii="Calibri" w:hAnsi="Calibri"/>
          <w:b/>
          <w:sz w:val="24"/>
        </w:rPr>
        <w:t>Validation:</w:t>
      </w:r>
      <w:r>
        <w:rPr>
          <w:rFonts w:ascii="Calibri" w:hAnsi="Calibri"/>
          <w:sz w:val="24"/>
        </w:rPr>
        <w:t xml:space="preserve"> Checksum verification post-migration</w:t>
      </w:r>
    </w:p>
    <w:p>
      <w:pPr>
        <w:pStyle w:val="Heading2"/>
        <w:spacing w:before="240" w:after="120"/>
        <w:ind w:left="0"/>
      </w:pPr>
      <w:r>
        <w:t>6.3 Data Migration Strategy</w:t>
      </w:r>
    </w:p>
    <w:p>
      <w:r>
        <w:rPr>
          <w:rFonts w:ascii="Calibri" w:hAnsi="Calibri"/>
          <w:sz w:val="24"/>
        </w:rPr>
        <w:t>Migration approach for each data type.</w:t>
      </w:r>
    </w:p>
    <w:p>
      <w:pPr>
        <w:spacing w:after="80"/>
        <w:ind w:left="360"/>
      </w:pPr>
      <w:r>
        <w:rPr>
          <w:rFonts w:ascii="Calibri" w:hAnsi="Calibri"/>
          <w:sz w:val="24"/>
        </w:rPr>
        <w:t xml:space="preserve">• </w:t>
      </w:r>
      <w:r>
        <w:rPr>
          <w:rFonts w:ascii="Calibri" w:hAnsi="Calibri"/>
          <w:b/>
          <w:sz w:val="24"/>
        </w:rPr>
        <w:t>Databases:</w:t>
      </w:r>
      <w:r>
        <w:rPr>
          <w:rFonts w:ascii="Calibri" w:hAnsi="Calibri"/>
          <w:sz w:val="24"/>
        </w:rPr>
        <w:t xml:space="preserve"> AWS DMS with continuous replication</w:t>
      </w:r>
    </w:p>
    <w:p>
      <w:pPr>
        <w:spacing w:after="80"/>
        <w:ind w:left="360"/>
      </w:pPr>
      <w:r>
        <w:rPr>
          <w:rFonts w:ascii="Calibri" w:hAnsi="Calibri"/>
          <w:sz w:val="24"/>
        </w:rPr>
        <w:t xml:space="preserve">• </w:t>
      </w:r>
      <w:r>
        <w:rPr>
          <w:rFonts w:ascii="Calibri" w:hAnsi="Calibri"/>
          <w:b/>
          <w:sz w:val="24"/>
        </w:rPr>
        <w:t>Files:</w:t>
      </w:r>
      <w:r>
        <w:rPr>
          <w:rFonts w:ascii="Calibri" w:hAnsi="Calibri"/>
          <w:sz w:val="24"/>
        </w:rPr>
        <w:t xml:space="preserve"> AWS DataSync with scheduled sync</w:t>
      </w:r>
    </w:p>
    <w:p>
      <w:pPr>
        <w:spacing w:after="80"/>
        <w:ind w:left="360"/>
      </w:pPr>
      <w:r>
        <w:rPr>
          <w:rFonts w:ascii="Calibri" w:hAnsi="Calibri"/>
          <w:sz w:val="24"/>
        </w:rPr>
        <w:t xml:space="preserve">• </w:t>
      </w:r>
      <w:r>
        <w:rPr>
          <w:rFonts w:ascii="Calibri" w:hAnsi="Calibri"/>
          <w:b/>
          <w:sz w:val="24"/>
        </w:rPr>
        <w:t>Application State:</w:t>
      </w:r>
      <w:r>
        <w:rPr>
          <w:rFonts w:ascii="Calibri" w:hAnsi="Calibri"/>
          <w:sz w:val="24"/>
        </w:rPr>
        <w:t xml:space="preserve"> Captured in MGN replication</w:t>
      </w:r>
    </w:p>
    <w:p>
      <w:pPr>
        <w:spacing w:after="80"/>
        <w:ind w:left="360"/>
      </w:pPr>
      <w:r>
        <w:rPr>
          <w:rFonts w:ascii="Calibri" w:hAnsi="Calibri"/>
          <w:sz w:val="24"/>
        </w:rPr>
        <w:t xml:space="preserve">• </w:t>
      </w:r>
      <w:r>
        <w:rPr>
          <w:rFonts w:ascii="Calibri" w:hAnsi="Calibri"/>
          <w:b/>
          <w:sz w:val="24"/>
        </w:rPr>
        <w:t>Historical Data:</w:t>
      </w:r>
      <w:r>
        <w:rPr>
          <w:rFonts w:ascii="Calibri" w:hAnsi="Calibri"/>
          <w:sz w:val="24"/>
        </w:rPr>
        <w:t xml:space="preserve"> Bulk transfer to S3</w:t>
      </w:r>
    </w:p>
    <w:p>
      <w:pPr>
        <w:pStyle w:val="Heading2"/>
        <w:spacing w:before="240" w:after="120"/>
        <w:ind w:left="0"/>
      </w:pPr>
      <w:r>
        <w:t>6.4 Data Governance</w:t>
      </w:r>
    </w:p>
    <w:p>
      <w:r>
        <w:rPr>
          <w:rFonts w:ascii="Calibri" w:hAnsi="Calibri"/>
          <w:sz w:val="24"/>
        </w:rPr>
        <w:t>Data governance policies ensure proper handling during and after migration.</w:t>
      </w:r>
    </w:p>
    <w:p>
      <w:pPr>
        <w:spacing w:after="80"/>
        <w:ind w:left="360"/>
      </w:pPr>
      <w:r>
        <w:rPr>
          <w:rFonts w:ascii="Calibri" w:hAnsi="Calibri"/>
          <w:sz w:val="24"/>
        </w:rPr>
        <w:t xml:space="preserve">• </w:t>
      </w:r>
      <w:r>
        <w:rPr>
          <w:rFonts w:ascii="Calibri" w:hAnsi="Calibri"/>
          <w:b/>
          <w:sz w:val="24"/>
        </w:rPr>
        <w:t>Classification:</w:t>
      </w:r>
      <w:r>
        <w:rPr>
          <w:rFonts w:ascii="Calibri" w:hAnsi="Calibri"/>
          <w:sz w:val="24"/>
        </w:rPr>
        <w:t xml:space="preserve"> Maintain existing data classification</w:t>
      </w:r>
    </w:p>
    <w:p>
      <w:pPr>
        <w:spacing w:after="80"/>
        <w:ind w:left="360"/>
      </w:pPr>
      <w:r>
        <w:rPr>
          <w:rFonts w:ascii="Calibri" w:hAnsi="Calibri"/>
          <w:sz w:val="24"/>
        </w:rPr>
        <w:t xml:space="preserve">• </w:t>
      </w:r>
      <w:r>
        <w:rPr>
          <w:rFonts w:ascii="Calibri" w:hAnsi="Calibri"/>
          <w:b/>
          <w:sz w:val="24"/>
        </w:rPr>
        <w:t>Retention:</w:t>
      </w:r>
      <w:r>
        <w:rPr>
          <w:rFonts w:ascii="Calibri" w:hAnsi="Calibri"/>
          <w:sz w:val="24"/>
        </w:rPr>
        <w:t xml:space="preserve"> Apply retention policies via S3 lifecycle</w:t>
      </w:r>
    </w:p>
    <w:p>
      <w:pPr>
        <w:spacing w:after="80"/>
        <w:ind w:left="360"/>
      </w:pPr>
      <w:r>
        <w:rPr>
          <w:rFonts w:ascii="Calibri" w:hAnsi="Calibri"/>
          <w:sz w:val="24"/>
        </w:rPr>
        <w:t xml:space="preserve">• </w:t>
      </w:r>
      <w:r>
        <w:rPr>
          <w:rFonts w:ascii="Calibri" w:hAnsi="Calibri"/>
          <w:b/>
          <w:sz w:val="24"/>
        </w:rPr>
        <w:t>Quality:</w:t>
      </w:r>
      <w:r>
        <w:rPr>
          <w:rFonts w:ascii="Calibri" w:hAnsi="Calibri"/>
          <w:sz w:val="24"/>
        </w:rPr>
        <w:t xml:space="preserve"> Validation testing post-migration</w:t>
      </w:r>
    </w:p>
    <w:p>
      <w:pPr>
        <w:spacing w:after="80"/>
        <w:ind w:left="360"/>
      </w:pPr>
      <w:r>
        <w:rPr>
          <w:rFonts w:ascii="Calibri" w:hAnsi="Calibri"/>
          <w:sz w:val="24"/>
        </w:rPr>
        <w:t xml:space="preserve">• </w:t>
      </w:r>
      <w:r>
        <w:rPr>
          <w:rFonts w:ascii="Calibri" w:hAnsi="Calibri"/>
          <w:b/>
          <w:sz w:val="24"/>
        </w:rPr>
        <w:t>Access:</w:t>
      </w:r>
      <w:r>
        <w:rPr>
          <w:rFonts w:ascii="Calibri" w:hAnsi="Calibri"/>
          <w:sz w:val="24"/>
        </w:rPr>
        <w:t xml:space="preserve"> IAM-based access control</w:t>
      </w:r>
    </w:p>
    <w:p>
      <w:pPr>
        <w:pStyle w:val="Heading1"/>
        <w:spacing w:before="160" w:after="120"/>
        <w:ind w:left="0"/>
      </w:pPr>
      <w:r>
        <w:t>7 Integration Design</w:t>
      </w:r>
    </w:p>
    <w:p>
      <w:r>
        <w:rPr>
          <w:rFonts w:ascii="Calibri" w:hAnsi="Calibri"/>
          <w:sz w:val="24"/>
        </w:rPr>
        <w:t>This section documents the integration patterns for hybrid connectivity and application dependencies.</w:t>
      </w:r>
    </w:p>
    <w:p>
      <w:pPr>
        <w:pStyle w:val="Heading2"/>
        <w:spacing w:before="240" w:after="120"/>
        <w:ind w:left="0"/>
      </w:pPr>
      <w:r>
        <w:t>7.1 External System Integrations</w:t>
      </w:r>
    </w:p>
    <w:p>
      <w:r>
        <w:rPr>
          <w:rFonts w:ascii="Calibri" w:hAnsi="Calibri"/>
          <w:sz w:val="24"/>
        </w:rPr>
        <w:t>The migrated environment maintains integration with external systems.</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System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Protocol</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Error Handling</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SLA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Directory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LDAP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API</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HTTPS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JSON</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Circuit breaker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Server</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Async</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SMTP</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Queue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System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Scheduled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Agent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Binary</w:t>
            </w:r>
          </w:p>
        </w:tc>
        <w:tc>
          <w:tcPr>
            <w:tcW w:type="dxa" w:w="20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System Integrations</w:t>
      </w:r>
    </w:p>
    <w:p>
      <w:pPr>
        <w:pStyle w:val="Heading2"/>
        <w:spacing w:before="240" w:after="120"/>
        <w:ind w:left="0"/>
      </w:pPr>
      <w:r>
        <w:t>7.2 API Design</w:t>
      </w:r>
    </w:p>
    <w:p>
      <w:r>
        <w:rPr>
          <w:rFonts w:ascii="Calibri" w:hAnsi="Calibri"/>
          <w:sz w:val="24"/>
        </w:rPr>
        <w:t>Applications maintain existing interfaces post-migration.</w:t>
      </w:r>
    </w:p>
    <w:p>
      <w:pPr>
        <w:spacing w:after="80"/>
        <w:ind w:left="360"/>
      </w:pPr>
      <w:r>
        <w:rPr>
          <w:rFonts w:ascii="Calibri" w:hAnsi="Calibri"/>
          <w:sz w:val="24"/>
        </w:rPr>
        <w:t xml:space="preserve">• </w:t>
      </w:r>
      <w:r>
        <w:rPr>
          <w:rFonts w:ascii="Calibri" w:hAnsi="Calibri"/>
          <w:b/>
          <w:sz w:val="24"/>
        </w:rPr>
        <w:t>Style:</w:t>
      </w:r>
      <w:r>
        <w:rPr>
          <w:rFonts w:ascii="Calibri" w:hAnsi="Calibri"/>
          <w:sz w:val="24"/>
        </w:rPr>
        <w:t xml:space="preserve"> REST APIs remain unchanged</w:t>
      </w:r>
    </w:p>
    <w:p>
      <w:pPr>
        <w:spacing w:after="80"/>
        <w:ind w:left="360"/>
      </w:pPr>
      <w:r>
        <w:rPr>
          <w:rFonts w:ascii="Calibri" w:hAnsi="Calibri"/>
          <w:sz w:val="24"/>
        </w:rPr>
        <w:t xml:space="preserve">• </w:t>
      </w:r>
      <w:r>
        <w:rPr>
          <w:rFonts w:ascii="Calibri" w:hAnsi="Calibri"/>
          <w:b/>
          <w:sz w:val="24"/>
        </w:rPr>
        <w:t>Authentication:</w:t>
      </w:r>
      <w:r>
        <w:rPr>
          <w:rFonts w:ascii="Calibri" w:hAnsi="Calibri"/>
          <w:sz w:val="24"/>
        </w:rPr>
        <w:t xml:space="preserve"> Token-based, transitioned to Cognito (future)</w:t>
      </w:r>
    </w:p>
    <w:p>
      <w:pPr>
        <w:spacing w:after="80"/>
        <w:ind w:left="360"/>
      </w:pPr>
      <w:r>
        <w:rPr>
          <w:rFonts w:ascii="Calibri" w:hAnsi="Calibri"/>
          <w:sz w:val="24"/>
        </w:rPr>
        <w:t xml:space="preserve">• </w:t>
      </w:r>
      <w:r>
        <w:rPr>
          <w:rFonts w:ascii="Calibri" w:hAnsi="Calibri"/>
          <w:b/>
          <w:sz w:val="24"/>
        </w:rPr>
        <w:t>Rate Limiting:</w:t>
      </w:r>
      <w:r>
        <w:rPr>
          <w:rFonts w:ascii="Calibri" w:hAnsi="Calibri"/>
          <w:sz w:val="24"/>
        </w:rPr>
        <w:t xml:space="preserve"> ALB connection limits</w:t>
      </w:r>
    </w:p>
    <w:p>
      <w:pPr>
        <w:spacing w:after="80"/>
        <w:ind w:left="360"/>
      </w:pPr>
      <w:r>
        <w:rPr>
          <w:rFonts w:ascii="Calibri" w:hAnsi="Calibri"/>
          <w:sz w:val="24"/>
        </w:rPr>
        <w:t xml:space="preserve">• </w:t>
      </w:r>
      <w:r>
        <w:rPr>
          <w:rFonts w:ascii="Calibri" w:hAnsi="Calibri"/>
          <w:b/>
          <w:sz w:val="24"/>
        </w:rPr>
        <w:t>Idempotency:</w:t>
      </w:r>
      <w:r>
        <w:rPr>
          <w:rFonts w:ascii="Calibri" w:hAnsi="Calibri"/>
          <w:sz w:val="24"/>
        </w:rPr>
        <w:t xml:space="preserve"> Application-level handling</w:t>
      </w:r>
    </w:p>
    <w:p>
      <w:pPr>
        <w:pStyle w:val="Heading2"/>
        <w:spacing w:before="240" w:after="120"/>
        <w:ind w:left="0"/>
      </w:pPr>
      <w:r>
        <w:t>7.3 Authentication &amp; SSO Flows</w:t>
      </w:r>
    </w:p>
    <w:p>
      <w:r>
        <w:rPr>
          <w:rFonts w:ascii="Calibri" w:hAnsi="Calibri"/>
          <w:sz w:val="24"/>
        </w:rPr>
        <w:t>Application authentication during hybrid period.</w:t>
      </w:r>
    </w:p>
    <w:p>
      <w:pPr>
        <w:spacing w:after="80"/>
        <w:ind w:left="360"/>
      </w:pPr>
      <w:r>
        <w:rPr>
          <w:rFonts w:ascii="Calibri" w:hAnsi="Calibri"/>
          <w:sz w:val="24"/>
        </w:rPr>
        <w:t xml:space="preserve">• </w:t>
      </w:r>
      <w:r>
        <w:rPr>
          <w:rFonts w:ascii="Calibri" w:hAnsi="Calibri"/>
          <w:sz w:val="24"/>
        </w:rPr>
        <w:t>Active Directory remains on-premise initially</w:t>
      </w:r>
    </w:p>
    <w:p>
      <w:pPr>
        <w:spacing w:after="80"/>
        <w:ind w:left="360"/>
      </w:pPr>
      <w:r>
        <w:rPr>
          <w:rFonts w:ascii="Calibri" w:hAnsi="Calibri"/>
          <w:sz w:val="24"/>
        </w:rPr>
        <w:t xml:space="preserve">• </w:t>
      </w:r>
      <w:r>
        <w:rPr>
          <w:rFonts w:ascii="Calibri" w:hAnsi="Calibri"/>
          <w:sz w:val="24"/>
        </w:rPr>
        <w:t>Site-to-site VPN or Direct Connect for AD traffic</w:t>
      </w:r>
    </w:p>
    <w:p>
      <w:pPr>
        <w:spacing w:after="80"/>
        <w:ind w:left="360"/>
      </w:pPr>
      <w:r>
        <w:rPr>
          <w:rFonts w:ascii="Calibri" w:hAnsi="Calibri"/>
          <w:sz w:val="24"/>
        </w:rPr>
        <w:t xml:space="preserve">• </w:t>
      </w:r>
      <w:r>
        <w:rPr>
          <w:rFonts w:ascii="Calibri" w:hAnsi="Calibri"/>
          <w:sz w:val="24"/>
        </w:rPr>
        <w:t>AWS Managed Microsoft AD as future option</w:t>
      </w:r>
    </w:p>
    <w:p>
      <w:pPr>
        <w:spacing w:after="80"/>
        <w:ind w:left="360"/>
      </w:pPr>
      <w:r>
        <w:rPr>
          <w:rFonts w:ascii="Calibri" w:hAnsi="Calibri"/>
          <w:sz w:val="24"/>
        </w:rPr>
        <w:t xml:space="preserve">• </w:t>
      </w:r>
      <w:r>
        <w:rPr>
          <w:rFonts w:ascii="Calibri" w:hAnsi="Calibri"/>
          <w:sz w:val="24"/>
        </w:rPr>
        <w:t>Application sessions via existing mechanisms</w:t>
      </w:r>
    </w:p>
    <w:p>
      <w:pPr>
        <w:pStyle w:val="Heading2"/>
        <w:spacing w:before="240" w:after="120"/>
        <w:ind w:left="0"/>
      </w:pPr>
      <w:r>
        <w:t>7.4 Messaging &amp; Event Patterns</w:t>
      </w:r>
    </w:p>
    <w:p>
      <w:r>
        <w:rPr>
          <w:rFonts w:ascii="Calibri" w:hAnsi="Calibri"/>
          <w:sz w:val="24"/>
        </w:rPr>
        <w:t>Event-driven patterns where applicable.</w:t>
      </w:r>
    </w:p>
    <w:p>
      <w:pPr>
        <w:spacing w:after="80"/>
        <w:ind w:left="360"/>
      </w:pPr>
      <w:r>
        <w:rPr>
          <w:rFonts w:ascii="Calibri" w:hAnsi="Calibri"/>
          <w:sz w:val="24"/>
        </w:rPr>
        <w:t xml:space="preserve">• </w:t>
      </w:r>
      <w:r>
        <w:rPr>
          <w:rFonts w:ascii="Calibri" w:hAnsi="Calibri"/>
          <w:b/>
          <w:sz w:val="24"/>
        </w:rPr>
        <w:t>SNS:</w:t>
      </w:r>
      <w:r>
        <w:rPr>
          <w:rFonts w:ascii="Calibri" w:hAnsi="Calibri"/>
          <w:sz w:val="24"/>
        </w:rPr>
        <w:t xml:space="preserve"> Alerting and notification</w:t>
      </w:r>
    </w:p>
    <w:p>
      <w:pPr>
        <w:spacing w:after="80"/>
        <w:ind w:left="360"/>
      </w:pPr>
      <w:r>
        <w:rPr>
          <w:rFonts w:ascii="Calibri" w:hAnsi="Calibri"/>
          <w:sz w:val="24"/>
        </w:rPr>
        <w:t xml:space="preserve">• </w:t>
      </w:r>
      <w:r>
        <w:rPr>
          <w:rFonts w:ascii="Calibri" w:hAnsi="Calibri"/>
          <w:b/>
          <w:sz w:val="24"/>
        </w:rPr>
        <w:t>SQS:</w:t>
      </w:r>
      <w:r>
        <w:rPr>
          <w:rFonts w:ascii="Calibri" w:hAnsi="Calibri"/>
          <w:sz w:val="24"/>
        </w:rPr>
        <w:t xml:space="preserve"> Message queuing for decoupled processing</w:t>
      </w:r>
    </w:p>
    <w:p>
      <w:pPr>
        <w:spacing w:after="80"/>
        <w:ind w:left="360"/>
      </w:pPr>
      <w:r>
        <w:rPr>
          <w:rFonts w:ascii="Calibri" w:hAnsi="Calibri"/>
          <w:sz w:val="24"/>
        </w:rPr>
        <w:t xml:space="preserve">• </w:t>
      </w:r>
      <w:r>
        <w:rPr>
          <w:rFonts w:ascii="Calibri" w:hAnsi="Calibri"/>
          <w:b/>
          <w:sz w:val="24"/>
        </w:rPr>
        <w:t>EventBridge:</w:t>
      </w:r>
      <w:r>
        <w:rPr>
          <w:rFonts w:ascii="Calibri" w:hAnsi="Calibri"/>
          <w:sz w:val="24"/>
        </w:rPr>
        <w:t xml:space="preserve"> Future event-driven architecture</w:t>
      </w:r>
    </w:p>
    <w:p>
      <w:pPr>
        <w:pStyle w:val="Heading1"/>
        <w:spacing w:before="160" w:after="120"/>
        <w:ind w:left="0"/>
      </w:pPr>
      <w:r>
        <w:t>8 Infrastructure &amp; Operations</w:t>
      </w:r>
    </w:p>
    <w:p>
      <w:r>
        <w:rPr>
          <w:rFonts w:ascii="Calibri" w:hAnsi="Calibri"/>
          <w:sz w:val="24"/>
        </w:rPr>
        <w:t>This section covers the infrastructure design, deployment architecture, and operational procedures.</w:t>
      </w:r>
    </w:p>
    <w:p>
      <w:pPr>
        <w:pStyle w:val="Heading2"/>
        <w:spacing w:before="240" w:after="120"/>
        <w:ind w:left="0"/>
      </w:pPr>
      <w:r>
        <w:t>8.1 Network Design</w:t>
      </w:r>
    </w:p>
    <w:p>
      <w:r>
        <w:rPr>
          <w:rFonts w:ascii="Calibri" w:hAnsi="Calibri"/>
          <w:sz w:val="24"/>
        </w:rPr>
        <w:t>The AWS network architecture provides secure, scalable connectivity.</w:t>
      </w:r>
    </w:p>
    <w:p>
      <w:pPr>
        <w:spacing w:after="80"/>
        <w:ind w:left="360"/>
      </w:pPr>
      <w:r>
        <w:rPr>
          <w:rFonts w:ascii="Calibri" w:hAnsi="Calibri"/>
          <w:sz w:val="24"/>
        </w:rPr>
        <w:t xml:space="preserve">• </w:t>
      </w:r>
      <w:r>
        <w:rPr>
          <w:rFonts w:ascii="Calibri" w:hAnsi="Calibri"/>
          <w:b/>
          <w:sz w:val="24"/>
        </w:rPr>
        <w:t>Production VPC CIDR:</w:t>
      </w:r>
      <w:r>
        <w:rPr>
          <w:rFonts w:ascii="Calibri" w:hAnsi="Calibri"/>
          <w:sz w:val="24"/>
        </w:rPr>
        <w:t xml:space="preserve"> 10.0.0.0/16 (us-east-1)</w:t>
      </w:r>
    </w:p>
    <w:p>
      <w:pPr>
        <w:spacing w:after="80"/>
        <w:ind w:left="360"/>
      </w:pPr>
      <w:r>
        <w:rPr>
          <w:rFonts w:ascii="Calibri" w:hAnsi="Calibri"/>
          <w:sz w:val="24"/>
        </w:rPr>
        <w:t xml:space="preserve">• </w:t>
      </w:r>
      <w:r>
        <w:rPr>
          <w:rFonts w:ascii="Calibri" w:hAnsi="Calibri"/>
          <w:b/>
          <w:sz w:val="24"/>
        </w:rPr>
        <w:t>Public Subnets:</w:t>
      </w:r>
      <w:r>
        <w:rPr>
          <w:rFonts w:ascii="Calibri" w:hAnsi="Calibri"/>
          <w:sz w:val="24"/>
        </w:rPr>
        <w:t xml:space="preserve"> 10.0.1.0/24, 10.0.2.0/24 (ALB, NAT)</w:t>
      </w:r>
    </w:p>
    <w:p>
      <w:pPr>
        <w:spacing w:after="80"/>
        <w:ind w:left="360"/>
      </w:pPr>
      <w:r>
        <w:rPr>
          <w:rFonts w:ascii="Calibri" w:hAnsi="Calibri"/>
          <w:sz w:val="24"/>
        </w:rPr>
        <w:t xml:space="preserve">• </w:t>
      </w:r>
      <w:r>
        <w:rPr>
          <w:rFonts w:ascii="Calibri" w:hAnsi="Calibri"/>
          <w:b/>
          <w:sz w:val="24"/>
        </w:rPr>
        <w:t>Private Subnets:</w:t>
      </w:r>
      <w:r>
        <w:rPr>
          <w:rFonts w:ascii="Calibri" w:hAnsi="Calibri"/>
          <w:sz w:val="24"/>
        </w:rPr>
        <w:t xml:space="preserve"> 10.0.10.0/24, 10.0.11.0/24 (EC2)</w:t>
      </w:r>
    </w:p>
    <w:p>
      <w:pPr>
        <w:spacing w:after="80"/>
        <w:ind w:left="360"/>
      </w:pPr>
      <w:r>
        <w:rPr>
          <w:rFonts w:ascii="Calibri" w:hAnsi="Calibri"/>
          <w:sz w:val="24"/>
        </w:rPr>
        <w:t xml:space="preserve">• </w:t>
      </w:r>
      <w:r>
        <w:rPr>
          <w:rFonts w:ascii="Calibri" w:hAnsi="Calibri"/>
          <w:b/>
          <w:sz w:val="24"/>
        </w:rPr>
        <w:t>Database Subnets:</w:t>
      </w:r>
      <w:r>
        <w:rPr>
          <w:rFonts w:ascii="Calibri" w:hAnsi="Calibri"/>
          <w:sz w:val="24"/>
        </w:rPr>
        <w:t xml:space="preserve"> 10.0.20.0/24, 10.0.21.0/24 (RDS)</w:t>
      </w:r>
    </w:p>
    <w:p>
      <w:pPr>
        <w:spacing w:after="80"/>
        <w:ind w:left="360"/>
      </w:pPr>
      <w:r>
        <w:rPr>
          <w:rFonts w:ascii="Calibri" w:hAnsi="Calibri"/>
          <w:sz w:val="24"/>
        </w:rPr>
        <w:t xml:space="preserve">• </w:t>
      </w:r>
      <w:r>
        <w:rPr>
          <w:rFonts w:ascii="Calibri" w:hAnsi="Calibri"/>
          <w:b/>
          <w:sz w:val="24"/>
        </w:rPr>
        <w:t>Availability Zones:</w:t>
      </w:r>
      <w:r>
        <w:rPr>
          <w:rFonts w:ascii="Calibri" w:hAnsi="Calibri"/>
          <w:sz w:val="24"/>
        </w:rPr>
        <w:t xml:space="preserve"> us-east-1a, us-east-1b</w:t>
      </w:r>
    </w:p>
    <w:p>
      <w:pPr>
        <w:pStyle w:val="Heading2"/>
        <w:spacing w:before="240" w:after="120"/>
        <w:ind w:left="0"/>
      </w:pPr>
      <w:r>
        <w:t>8.2 Compute Sizing</w:t>
      </w:r>
    </w:p>
    <w:p>
      <w:r>
        <w:rPr>
          <w:rFonts w:ascii="Calibri" w:hAnsi="Calibri"/>
          <w:sz w:val="24"/>
        </w:rPr>
        <w:t>Compute sizing based on current utilization and growth projections.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Workload 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Instance 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vCPU</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Memory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Count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Application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t3.medium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GB</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Server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m5.large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GB</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(RDS)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db.r5.large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 GB</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Processing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c5.xlarge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GB</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Compute Sizing</w:t>
      </w:r>
    </w:p>
    <w:p>
      <w:pPr>
        <w:pStyle w:val="Heading2"/>
        <w:spacing w:before="240" w:after="120"/>
        <w:ind w:left="0"/>
      </w:pPr>
      <w:r>
        <w:t>8.3 High Availability Design</w:t>
      </w:r>
    </w:p>
    <w:p>
      <w:r>
        <w:rPr>
          <w:rFonts w:ascii="Calibri" w:hAnsi="Calibri"/>
          <w:sz w:val="24"/>
        </w:rPr>
        <w:t>The solution eliminates single points of failure through AWS availability features.</w:t>
      </w:r>
    </w:p>
    <w:p>
      <w:pPr>
        <w:spacing w:after="80"/>
        <w:ind w:left="360"/>
      </w:pPr>
      <w:r>
        <w:rPr>
          <w:rFonts w:ascii="Calibri" w:hAnsi="Calibri"/>
          <w:sz w:val="24"/>
        </w:rPr>
        <w:t xml:space="preserve">• </w:t>
      </w:r>
      <w:r>
        <w:rPr>
          <w:rFonts w:ascii="Calibri" w:hAnsi="Calibri"/>
          <w:sz w:val="24"/>
        </w:rPr>
        <w:t>Multi-AZ deployment for all production workloads</w:t>
      </w:r>
    </w:p>
    <w:p>
      <w:pPr>
        <w:spacing w:after="80"/>
        <w:ind w:left="360"/>
      </w:pPr>
      <w:r>
        <w:rPr>
          <w:rFonts w:ascii="Calibri" w:hAnsi="Calibri"/>
          <w:sz w:val="24"/>
        </w:rPr>
        <w:t xml:space="preserve">• </w:t>
      </w:r>
      <w:r>
        <w:rPr>
          <w:rFonts w:ascii="Calibri" w:hAnsi="Calibri"/>
          <w:sz w:val="24"/>
        </w:rPr>
        <w:t>Auto Scaling Groups for application tier</w:t>
      </w:r>
    </w:p>
    <w:p>
      <w:pPr>
        <w:spacing w:after="80"/>
        <w:ind w:left="360"/>
      </w:pPr>
      <w:r>
        <w:rPr>
          <w:rFonts w:ascii="Calibri" w:hAnsi="Calibri"/>
          <w:sz w:val="24"/>
        </w:rPr>
        <w:t xml:space="preserve">• </w:t>
      </w:r>
      <w:r>
        <w:rPr>
          <w:rFonts w:ascii="Calibri" w:hAnsi="Calibri"/>
          <w:sz w:val="24"/>
        </w:rPr>
        <w:t>RDS Multi-AZ for automatic database failover</w:t>
      </w:r>
    </w:p>
    <w:p>
      <w:pPr>
        <w:spacing w:after="80"/>
        <w:ind w:left="360"/>
      </w:pPr>
      <w:r>
        <w:rPr>
          <w:rFonts w:ascii="Calibri" w:hAnsi="Calibri"/>
          <w:sz w:val="24"/>
        </w:rPr>
        <w:t xml:space="preserve">• </w:t>
      </w:r>
      <w:r>
        <w:rPr>
          <w:rFonts w:ascii="Calibri" w:hAnsi="Calibri"/>
          <w:sz w:val="24"/>
        </w:rPr>
        <w:t>S3 with 99.999999999% durability</w:t>
      </w:r>
    </w:p>
    <w:p>
      <w:pPr>
        <w:pStyle w:val="Heading2"/>
        <w:spacing w:before="240" w:after="120"/>
        <w:ind w:left="0"/>
      </w:pPr>
      <w:r>
        <w:t>8.4 Disaster Recovery</w:t>
      </w:r>
    </w:p>
    <w:p>
      <w:r>
        <w:rPr>
          <w:rFonts w:ascii="Calibri" w:hAnsi="Calibri"/>
          <w:sz w:val="24"/>
        </w:rPr>
        <w:t>DR capabilities built into the AWS architecture.</w:t>
      </w:r>
    </w:p>
    <w:p>
      <w:pPr>
        <w:spacing w:after="80"/>
        <w:ind w:left="360"/>
      </w:pPr>
      <w:r>
        <w:rPr>
          <w:rFonts w:ascii="Calibri" w:hAnsi="Calibri"/>
          <w:sz w:val="24"/>
        </w:rPr>
        <w:t xml:space="preserve">• </w:t>
      </w:r>
      <w:r>
        <w:rPr>
          <w:rFonts w:ascii="Calibri" w:hAnsi="Calibri"/>
          <w:b/>
          <w:sz w:val="24"/>
        </w:rPr>
        <w:t>RPO:</w:t>
      </w:r>
      <w:r>
        <w:rPr>
          <w:rFonts w:ascii="Calibri" w:hAnsi="Calibri"/>
          <w:sz w:val="24"/>
        </w:rPr>
        <w:t xml:space="preserve"> 1 hour (continuous database replication)</w:t>
      </w:r>
    </w:p>
    <w:p>
      <w:pPr>
        <w:spacing w:after="80"/>
        <w:ind w:left="360"/>
      </w:pPr>
      <w:r>
        <w:rPr>
          <w:rFonts w:ascii="Calibri" w:hAnsi="Calibri"/>
          <w:sz w:val="24"/>
        </w:rPr>
        <w:t xml:space="preserve">• </w:t>
      </w:r>
      <w:r>
        <w:rPr>
          <w:rFonts w:ascii="Calibri" w:hAnsi="Calibri"/>
          <w:b/>
          <w:sz w:val="24"/>
        </w:rPr>
        <w:t>RTO:</w:t>
      </w:r>
      <w:r>
        <w:rPr>
          <w:rFonts w:ascii="Calibri" w:hAnsi="Calibri"/>
          <w:sz w:val="24"/>
        </w:rPr>
        <w:t xml:space="preserve"> 4 hours (Multi-AZ failover + restore)</w:t>
      </w:r>
    </w:p>
    <w:p>
      <w:pPr>
        <w:spacing w:after="80"/>
        <w:ind w:left="360"/>
      </w:pPr>
      <w:r>
        <w:rPr>
          <w:rFonts w:ascii="Calibri" w:hAnsi="Calibri"/>
          <w:sz w:val="24"/>
        </w:rPr>
        <w:t xml:space="preserve">• </w:t>
      </w:r>
      <w:r>
        <w:rPr>
          <w:rFonts w:ascii="Calibri" w:hAnsi="Calibri"/>
          <w:b/>
          <w:sz w:val="24"/>
        </w:rPr>
        <w:t>Backup:</w:t>
      </w:r>
      <w:r>
        <w:rPr>
          <w:rFonts w:ascii="Calibri" w:hAnsi="Calibri"/>
          <w:sz w:val="24"/>
        </w:rPr>
        <w:t xml:space="preserve"> Daily snapshots with 7-day retention</w:t>
      </w:r>
    </w:p>
    <w:p>
      <w:pPr>
        <w:spacing w:after="80"/>
        <w:ind w:left="360"/>
      </w:pPr>
      <w:r>
        <w:rPr>
          <w:rFonts w:ascii="Calibri" w:hAnsi="Calibri"/>
          <w:sz w:val="24"/>
        </w:rPr>
        <w:t xml:space="preserve">• </w:t>
      </w:r>
      <w:r>
        <w:rPr>
          <w:rFonts w:ascii="Calibri" w:hAnsi="Calibri"/>
          <w:b/>
          <w:sz w:val="24"/>
        </w:rPr>
        <w:t>DR Strategy:</w:t>
      </w:r>
      <w:r>
        <w:rPr>
          <w:rFonts w:ascii="Calibri" w:hAnsi="Calibri"/>
          <w:sz w:val="24"/>
        </w:rPr>
        <w:t xml:space="preserve"> Multi-AZ within region (pilot light)</w:t>
      </w:r>
    </w:p>
    <w:p>
      <w:pPr>
        <w:pStyle w:val="Heading2"/>
        <w:spacing w:before="240" w:after="120"/>
        <w:ind w:left="0"/>
      </w:pPr>
      <w:r>
        <w:t>8.5 Monitoring &amp; Alerting</w:t>
      </w:r>
    </w:p>
    <w:p>
      <w:r>
        <w:rPr>
          <w:rFonts w:ascii="Calibri" w:hAnsi="Calibri"/>
          <w:sz w:val="24"/>
        </w:rPr>
        <w:t>Comprehensive monitoring provides visibility into the migrated environment.</w:t>
      </w:r>
    </w:p>
    <w:p>
      <w:pPr>
        <w:spacing w:after="80"/>
        <w:ind w:left="360"/>
      </w:pPr>
      <w:r>
        <w:rPr>
          <w:rFonts w:ascii="Calibri" w:hAnsi="Calibri"/>
          <w:sz w:val="24"/>
        </w:rPr>
        <w:t xml:space="preserve">• </w:t>
      </w:r>
      <w:r>
        <w:rPr>
          <w:rFonts w:ascii="Calibri" w:hAnsi="Calibri"/>
          <w:b/>
          <w:sz w:val="24"/>
        </w:rPr>
        <w:t>CloudWatch:</w:t>
      </w:r>
      <w:r>
        <w:rPr>
          <w:rFonts w:ascii="Calibri" w:hAnsi="Calibri"/>
          <w:sz w:val="24"/>
        </w:rPr>
        <w:t xml:space="preserve"> Metrics, logs, and dashboards</w:t>
      </w:r>
    </w:p>
    <w:p>
      <w:pPr>
        <w:spacing w:after="80"/>
        <w:ind w:left="360"/>
      </w:pPr>
      <w:r>
        <w:rPr>
          <w:rFonts w:ascii="Calibri" w:hAnsi="Calibri"/>
          <w:sz w:val="24"/>
        </w:rPr>
        <w:t xml:space="preserve">• </w:t>
      </w:r>
      <w:r>
        <w:rPr>
          <w:rFonts w:ascii="Calibri" w:hAnsi="Calibri"/>
          <w:b/>
          <w:sz w:val="24"/>
        </w:rPr>
        <w:t>CloudTrail:</w:t>
      </w:r>
      <w:r>
        <w:rPr>
          <w:rFonts w:ascii="Calibri" w:hAnsi="Calibri"/>
          <w:sz w:val="24"/>
        </w:rPr>
        <w:t xml:space="preserve"> API activity logging</w:t>
      </w:r>
    </w:p>
    <w:p>
      <w:pPr>
        <w:spacing w:after="80"/>
        <w:ind w:left="360"/>
      </w:pPr>
      <w:r>
        <w:rPr>
          <w:rFonts w:ascii="Calibri" w:hAnsi="Calibri"/>
          <w:sz w:val="24"/>
        </w:rPr>
        <w:t xml:space="preserve">• </w:t>
      </w:r>
      <w:r>
        <w:rPr>
          <w:rFonts w:ascii="Calibri" w:hAnsi="Calibri"/>
          <w:b/>
          <w:sz w:val="24"/>
        </w:rPr>
        <w:t>AWS Config:</w:t>
      </w:r>
      <w:r>
        <w:rPr>
          <w:rFonts w:ascii="Calibri" w:hAnsi="Calibri"/>
          <w:sz w:val="24"/>
        </w:rPr>
        <w:t xml:space="preserve"> Configuration compliance</w:t>
      </w:r>
    </w:p>
    <w:p>
      <w:pPr>
        <w:spacing w:after="80"/>
        <w:ind w:left="360"/>
      </w:pPr>
      <w:r>
        <w:rPr>
          <w:rFonts w:ascii="Calibri" w:hAnsi="Calibri"/>
          <w:sz w:val="24"/>
        </w:rPr>
        <w:t xml:space="preserve">• </w:t>
      </w:r>
      <w:r>
        <w:rPr>
          <w:rFonts w:ascii="Calibri" w:hAnsi="Calibri"/>
          <w:b/>
          <w:sz w:val="24"/>
        </w:rPr>
        <w:t>Alerting:</w:t>
      </w:r>
      <w:r>
        <w:rPr>
          <w:rFonts w:ascii="Calibri" w:hAnsi="Calibri"/>
          <w:sz w:val="24"/>
        </w:rPr>
        <w:t xml:space="preserve"> SNS notifications to operations team</w:t>
      </w:r>
    </w:p>
    <w:p>
      <w:pPr>
        <w:pStyle w:val="Heading3"/>
        <w:spacing w:before="160" w:after="120"/>
        <w:ind w:left="0"/>
      </w:pPr>
      <w:r>
        <w:t>8.5.1 Alert Definitions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Condition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 CPU</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80% for 5 min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workload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Instance Unhealthy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Health check fail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Auto-replace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80% utilized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Add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Anomaly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20% daily increase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Monitoring Alerts</w:t>
      </w:r>
    </w:p>
    <w:p>
      <w:pPr>
        <w:pStyle w:val="Heading2"/>
        <w:spacing w:before="240" w:after="120"/>
        <w:ind w:left="0"/>
      </w:pPr>
      <w:r>
        <w:t>8.6 Logging &amp; Observability</w:t>
      </w:r>
    </w:p>
    <w:p>
      <w:r>
        <w:rPr>
          <w:rFonts w:ascii="Calibri" w:hAnsi="Calibri"/>
          <w:sz w:val="24"/>
        </w:rPr>
        <w:t>Centralized logging enables troubleshooting and compliance.</w:t>
      </w:r>
    </w:p>
    <w:p>
      <w:pPr>
        <w:spacing w:after="80"/>
        <w:ind w:left="360"/>
      </w:pPr>
      <w:r>
        <w:rPr>
          <w:rFonts w:ascii="Calibri" w:hAnsi="Calibri"/>
          <w:sz w:val="24"/>
        </w:rPr>
        <w:t xml:space="preserve">• </w:t>
      </w:r>
      <w:r>
        <w:rPr>
          <w:rFonts w:ascii="Calibri" w:hAnsi="Calibri"/>
          <w:sz w:val="24"/>
        </w:rPr>
        <w:t>CloudWatch Logs for all application logging</w:t>
      </w:r>
    </w:p>
    <w:p>
      <w:pPr>
        <w:spacing w:after="80"/>
        <w:ind w:left="360"/>
      </w:pPr>
      <w:r>
        <w:rPr>
          <w:rFonts w:ascii="Calibri" w:hAnsi="Calibri"/>
          <w:sz w:val="24"/>
        </w:rPr>
        <w:t xml:space="preserve">• </w:t>
      </w:r>
      <w:r>
        <w:rPr>
          <w:rFonts w:ascii="Calibri" w:hAnsi="Calibri"/>
          <w:sz w:val="24"/>
        </w:rPr>
        <w:t>VPC Flow Logs for network analysis</w:t>
      </w:r>
    </w:p>
    <w:p>
      <w:pPr>
        <w:spacing w:after="80"/>
        <w:ind w:left="360"/>
      </w:pPr>
      <w:r>
        <w:rPr>
          <w:rFonts w:ascii="Calibri" w:hAnsi="Calibri"/>
          <w:sz w:val="24"/>
        </w:rPr>
        <w:t xml:space="preserve">• </w:t>
      </w:r>
      <w:r>
        <w:rPr>
          <w:rFonts w:ascii="Calibri" w:hAnsi="Calibri"/>
          <w:sz w:val="24"/>
        </w:rPr>
        <w:t>CloudTrail for security audit</w:t>
      </w:r>
    </w:p>
    <w:p>
      <w:pPr>
        <w:spacing w:after="80"/>
        <w:ind w:left="360"/>
      </w:pPr>
      <w:r>
        <w:rPr>
          <w:rFonts w:ascii="Calibri" w:hAnsi="Calibri"/>
          <w:sz w:val="24"/>
        </w:rPr>
        <w:t xml:space="preserve">• </w:t>
      </w:r>
      <w:r>
        <w:rPr>
          <w:rFonts w:ascii="Calibri" w:hAnsi="Calibri"/>
          <w:sz w:val="24"/>
        </w:rPr>
        <w:t>Cross-account log aggregation</w:t>
      </w:r>
    </w:p>
    <w:p>
      <w:pPr>
        <w:pStyle w:val="Heading2"/>
        <w:spacing w:before="240" w:after="120"/>
        <w:ind w:left="0"/>
      </w:pPr>
      <w:r>
        <w:t>8.7 Cost Model</w:t>
      </w:r>
    </w:p>
    <w:p>
      <w:r>
        <w:rPr>
          <w:rFonts w:ascii="Calibri" w:hAnsi="Calibri"/>
          <w:sz w:val="24"/>
        </w:rPr>
        <w:t>Estimated monthly AWS infrastructure costs post-migration.</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Monthly Estimate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Optimization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Savings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(EC2)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Reserved Instances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Reserved capacity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(S3/EBS)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Lifecycle policies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Network/Other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$15,200/month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12</w:t>
      </w:r>
      <w:r>
        <w:fldChar w:fldCharType="end"/>
      </w:r>
      <w:r>
        <w:rPr>
          <w:rFonts w:ascii="Calibri" w:hAnsi="Calibri"/>
          <w:sz w:val="20"/>
        </w:rPr>
        <w:t>: Cost Estimates</w:t>
      </w:r>
    </w:p>
    <w:p>
      <w:pPr>
        <w:pStyle w:val="Heading1"/>
        <w:spacing w:before="160" w:after="120"/>
        <w:ind w:left="0"/>
      </w:pPr>
      <w:r>
        <w:t>9 Implementation Approach</w:t>
      </w:r>
    </w:p>
    <w:p>
      <w:r>
        <w:rPr>
          <w:rFonts w:ascii="Calibri" w:hAnsi="Calibri"/>
          <w:sz w:val="24"/>
        </w:rPr>
        <w:t>This section outlines the migration methodology, sequencing, and tooling.</w:t>
      </w:r>
    </w:p>
    <w:p>
      <w:pPr>
        <w:pStyle w:val="Heading2"/>
        <w:spacing w:before="240" w:after="120"/>
        <w:ind w:left="0"/>
      </w:pPr>
      <w:r>
        <w:t>9.1 Migration/Deployment Strategy</w:t>
      </w:r>
    </w:p>
    <w:p>
      <w:r>
        <w:rPr>
          <w:rFonts w:ascii="Calibri" w:hAnsi="Calibri"/>
          <w:sz w:val="24"/>
        </w:rPr>
        <w:t>The migration follows AWS MAP methodology with phased approach.</w:t>
      </w:r>
    </w:p>
    <w:p>
      <w:pPr>
        <w:spacing w:after="80"/>
        <w:ind w:left="360"/>
      </w:pPr>
      <w:r>
        <w:rPr>
          <w:rFonts w:ascii="Calibri" w:hAnsi="Calibri"/>
          <w:sz w:val="24"/>
        </w:rPr>
        <w:t xml:space="preserve">• </w:t>
      </w:r>
      <w:r>
        <w:rPr>
          <w:rFonts w:ascii="Calibri" w:hAnsi="Calibri"/>
          <w:b/>
          <w:sz w:val="24"/>
        </w:rPr>
        <w:t>Approach:</w:t>
      </w:r>
      <w:r>
        <w:rPr>
          <w:rFonts w:ascii="Calibri" w:hAnsi="Calibri"/>
          <w:sz w:val="24"/>
        </w:rPr>
        <w:t xml:space="preserve"> Wave-based migration with increasing complexity</w:t>
      </w:r>
    </w:p>
    <w:p>
      <w:pPr>
        <w:spacing w:after="80"/>
        <w:ind w:left="360"/>
      </w:pPr>
      <w:r>
        <w:rPr>
          <w:rFonts w:ascii="Calibri" w:hAnsi="Calibri"/>
          <w:sz w:val="24"/>
        </w:rPr>
        <w:t xml:space="preserve">• </w:t>
      </w:r>
      <w:r>
        <w:rPr>
          <w:rFonts w:ascii="Calibri" w:hAnsi="Calibri"/>
          <w:b/>
          <w:sz w:val="24"/>
        </w:rPr>
        <w:t>Pattern:</w:t>
      </w:r>
      <w:r>
        <w:rPr>
          <w:rFonts w:ascii="Calibri" w:hAnsi="Calibri"/>
          <w:sz w:val="24"/>
        </w:rPr>
        <w:t xml:space="preserve"> Lift-and-shift (rehost) primary strategy</w:t>
      </w:r>
    </w:p>
    <w:p>
      <w:pPr>
        <w:spacing w:after="80"/>
        <w:ind w:left="360"/>
      </w:pPr>
      <w:r>
        <w:rPr>
          <w:rFonts w:ascii="Calibri" w:hAnsi="Calibri"/>
          <w:sz w:val="24"/>
        </w:rPr>
        <w:t xml:space="preserve">• </w:t>
      </w:r>
      <w:r>
        <w:rPr>
          <w:rFonts w:ascii="Calibri" w:hAnsi="Calibri"/>
          <w:b/>
          <w:sz w:val="24"/>
        </w:rPr>
        <w:t>Validation:</w:t>
      </w:r>
      <w:r>
        <w:rPr>
          <w:rFonts w:ascii="Calibri" w:hAnsi="Calibri"/>
          <w:sz w:val="24"/>
        </w:rPr>
        <w:t xml:space="preserve"> Testing at each wave before proceeding</w:t>
      </w:r>
    </w:p>
    <w:p>
      <w:pPr>
        <w:spacing w:after="80"/>
        <w:ind w:left="360"/>
      </w:pPr>
      <w:r>
        <w:rPr>
          <w:rFonts w:ascii="Calibri" w:hAnsi="Calibri"/>
          <w:sz w:val="24"/>
        </w:rPr>
        <w:t xml:space="preserve">• </w:t>
      </w:r>
      <w:r>
        <w:rPr>
          <w:rFonts w:ascii="Calibri" w:hAnsi="Calibri"/>
          <w:b/>
          <w:sz w:val="24"/>
        </w:rPr>
        <w:t>Rollback:</w:t>
      </w:r>
      <w:r>
        <w:rPr>
          <w:rFonts w:ascii="Calibri" w:hAnsi="Calibri"/>
          <w:sz w:val="24"/>
        </w:rPr>
        <w:t xml:space="preserve"> Maintained rollback capability until decommission</w:t>
      </w:r>
    </w:p>
    <w:p>
      <w:pPr>
        <w:pStyle w:val="Heading2"/>
        <w:spacing w:before="240" w:after="120"/>
        <w:ind w:left="0"/>
      </w:pPr>
      <w:r>
        <w:t>9.2 Sequencing &amp; Wave Planning</w:t>
      </w:r>
    </w:p>
    <w:p>
      <w:r>
        <w:rPr>
          <w:rFonts w:ascii="Calibri" w:hAnsi="Calibri"/>
          <w:sz w:val="24"/>
        </w:rPr>
        <w:t>The migration follows dependency-ordered waves.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Wave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Applications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(Web Portal, Doc Mgmt)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Pattern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CRM, ERP, HR System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Business-critical apps live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Archive, Reporting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apps migrated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Manufacturing App, cleanup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13</w:t>
      </w:r>
      <w:r>
        <w:fldChar w:fldCharType="end"/>
      </w:r>
      <w:r>
        <w:rPr>
          <w:rFonts w:ascii="Calibri" w:hAnsi="Calibri"/>
          <w:sz w:val="20"/>
        </w:rPr>
        <w:t>: Wave</w:t>
      </w:r>
    </w:p>
    <w:p>
      <w:pPr>
        <w:pStyle w:val="Heading2"/>
        <w:spacing w:before="240" w:after="120"/>
        <w:ind w:left="0"/>
      </w:pPr>
      <w:r>
        <w:t>9.3 Tooling &amp; Automation</w:t>
      </w:r>
    </w:p>
    <w:p>
      <w:r>
        <w:rPr>
          <w:rFonts w:ascii="Calibri" w:hAnsi="Calibri"/>
          <w:sz w:val="24"/>
        </w:rPr>
        <w:t>The following tools provide the automation foundation for migration.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Tool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MGN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Lift-and-shift replication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 with CDC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DataSync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Bulk file transfer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Operational visibility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14</w:t>
      </w:r>
      <w:r>
        <w:fldChar w:fldCharType="end"/>
      </w:r>
      <w:r>
        <w:rPr>
          <w:rFonts w:ascii="Calibri" w:hAnsi="Calibri"/>
          <w:sz w:val="20"/>
        </w:rPr>
        <w:t>: Tools and Technologies</w:t>
      </w:r>
    </w:p>
    <w:p>
      <w:pPr>
        <w:pStyle w:val="Heading2"/>
        <w:spacing w:before="240" w:after="120"/>
        <w:ind w:left="0"/>
      </w:pPr>
      <w:r>
        <w:t>9.4 Cutover Approach</w:t>
      </w:r>
    </w:p>
    <w:p>
      <w:r>
        <w:rPr>
          <w:rFonts w:ascii="Calibri" w:hAnsi="Calibri"/>
          <w:sz w:val="24"/>
        </w:rPr>
        <w:t>Application cutover approach during migration events.</w:t>
      </w:r>
    </w:p>
    <w:p>
      <w:pPr>
        <w:spacing w:after="80"/>
        <w:ind w:left="360"/>
      </w:pPr>
      <w:r>
        <w:rPr>
          <w:rFonts w:ascii="Calibri" w:hAnsi="Calibri"/>
          <w:sz w:val="24"/>
        </w:rPr>
        <w:t xml:space="preserve">• </w:t>
      </w:r>
      <w:r>
        <w:rPr>
          <w:rFonts w:ascii="Calibri" w:hAnsi="Calibri"/>
          <w:b/>
          <w:sz w:val="24"/>
        </w:rPr>
        <w:t>Type:</w:t>
      </w:r>
      <w:r>
        <w:rPr>
          <w:rFonts w:ascii="Calibri" w:hAnsi="Calibri"/>
          <w:sz w:val="24"/>
        </w:rPr>
        <w:t xml:space="preserve"> Weekend cutover windows (4-8 hours)</w:t>
      </w:r>
    </w:p>
    <w:p>
      <w:pPr>
        <w:spacing w:after="80"/>
        <w:ind w:left="360"/>
      </w:pPr>
      <w:r>
        <w:rPr>
          <w:rFonts w:ascii="Calibri" w:hAnsi="Calibri"/>
          <w:sz w:val="24"/>
        </w:rPr>
        <w:t xml:space="preserve">• </w:t>
      </w:r>
      <w:r>
        <w:rPr>
          <w:rFonts w:ascii="Calibri" w:hAnsi="Calibri"/>
          <w:b/>
          <w:sz w:val="24"/>
        </w:rPr>
        <w:t>Duration:</w:t>
      </w:r>
      <w:r>
        <w:rPr>
          <w:rFonts w:ascii="Calibri" w:hAnsi="Calibri"/>
          <w:sz w:val="24"/>
        </w:rPr>
        <w:t xml:space="preserve"> Per application, based on data volume</w:t>
      </w:r>
    </w:p>
    <w:p>
      <w:pPr>
        <w:spacing w:after="80"/>
        <w:ind w:left="360"/>
      </w:pPr>
      <w:r>
        <w:rPr>
          <w:rFonts w:ascii="Calibri" w:hAnsi="Calibri"/>
          <w:sz w:val="24"/>
        </w:rPr>
        <w:t xml:space="preserve">• </w:t>
      </w:r>
      <w:r>
        <w:rPr>
          <w:rFonts w:ascii="Calibri" w:hAnsi="Calibri"/>
          <w:b/>
          <w:sz w:val="24"/>
        </w:rPr>
        <w:t>Validation:</w:t>
      </w:r>
      <w:r>
        <w:rPr>
          <w:rFonts w:ascii="Calibri" w:hAnsi="Calibri"/>
          <w:sz w:val="24"/>
        </w:rPr>
        <w:t xml:space="preserve"> Application testing and smoke tests</w:t>
      </w:r>
    </w:p>
    <w:p>
      <w:pPr>
        <w:spacing w:after="80"/>
        <w:ind w:left="360"/>
      </w:pPr>
      <w:r>
        <w:rPr>
          <w:rFonts w:ascii="Calibri" w:hAnsi="Calibri"/>
          <w:sz w:val="24"/>
        </w:rPr>
        <w:t xml:space="preserve">• </w:t>
      </w:r>
      <w:r>
        <w:rPr>
          <w:rFonts w:ascii="Calibri" w:hAnsi="Calibri"/>
          <w:b/>
          <w:sz w:val="24"/>
        </w:rPr>
        <w:t>Decision Point:</w:t>
      </w:r>
      <w:r>
        <w:rPr>
          <w:rFonts w:ascii="Calibri" w:hAnsi="Calibri"/>
          <w:sz w:val="24"/>
        </w:rPr>
        <w:t xml:space="preserve"> Go/no-go based on validation results</w:t>
      </w:r>
    </w:p>
    <w:p>
      <w:pPr>
        <w:pStyle w:val="Heading2"/>
        <w:spacing w:before="240" w:after="120"/>
        <w:ind w:left="0"/>
      </w:pPr>
      <w:r>
        <w:t>9.5 Downtime Expectations</w:t>
      </w:r>
    </w:p>
    <w:p>
      <w:r>
        <w:rPr>
          <w:rFonts w:ascii="Calibri" w:hAnsi="Calibri"/>
          <w:sz w:val="24"/>
        </w:rPr>
        <w:t>Service availability during migration has been minimized.</w:t>
      </w:r>
    </w:p>
    <w:p>
      <w:pPr>
        <w:spacing w:after="80"/>
        <w:ind w:left="360"/>
      </w:pPr>
      <w:r>
        <w:rPr>
          <w:rFonts w:ascii="Calibri" w:hAnsi="Calibri"/>
          <w:sz w:val="24"/>
        </w:rPr>
        <w:t xml:space="preserve">• </w:t>
      </w:r>
      <w:r>
        <w:rPr>
          <w:rFonts w:ascii="Calibri" w:hAnsi="Calibri"/>
          <w:b/>
          <w:sz w:val="24"/>
        </w:rPr>
        <w:t>Planned Downtime:</w:t>
      </w:r>
      <w:r>
        <w:rPr>
          <w:rFonts w:ascii="Calibri" w:hAnsi="Calibri"/>
          <w:sz w:val="24"/>
        </w:rPr>
        <w:t xml:space="preserve"> 4-8 hours per application cutover</w:t>
      </w:r>
    </w:p>
    <w:p>
      <w:pPr>
        <w:spacing w:after="80"/>
        <w:ind w:left="360"/>
      </w:pPr>
      <w:r>
        <w:rPr>
          <w:rFonts w:ascii="Calibri" w:hAnsi="Calibri"/>
          <w:sz w:val="24"/>
        </w:rPr>
        <w:t xml:space="preserve">• </w:t>
      </w:r>
      <w:r>
        <w:rPr>
          <w:rFonts w:ascii="Calibri" w:hAnsi="Calibri"/>
          <w:b/>
          <w:sz w:val="24"/>
        </w:rPr>
        <w:t>Data Sync:</w:t>
      </w:r>
      <w:r>
        <w:rPr>
          <w:rFonts w:ascii="Calibri" w:hAnsi="Calibri"/>
          <w:sz w:val="24"/>
        </w:rPr>
        <w:t xml:space="preserve"> Zero downtime (continuous replication)</w:t>
      </w:r>
    </w:p>
    <w:p>
      <w:pPr>
        <w:spacing w:after="80"/>
        <w:ind w:left="360"/>
      </w:pPr>
      <w:r>
        <w:rPr>
          <w:rFonts w:ascii="Calibri" w:hAnsi="Calibri"/>
          <w:sz w:val="24"/>
        </w:rPr>
        <w:t xml:space="preserve">• </w:t>
      </w:r>
      <w:r>
        <w:rPr>
          <w:rFonts w:ascii="Calibri" w:hAnsi="Calibri"/>
          <w:b/>
          <w:sz w:val="24"/>
        </w:rPr>
        <w:t>DNS Cutover:</w:t>
      </w:r>
      <w:r>
        <w:rPr>
          <w:rFonts w:ascii="Calibri" w:hAnsi="Calibri"/>
          <w:sz w:val="24"/>
        </w:rPr>
        <w:t xml:space="preserve"> &lt;5 minutes with TTL management</w:t>
      </w:r>
    </w:p>
    <w:p>
      <w:pPr>
        <w:spacing w:after="80"/>
        <w:ind w:left="360"/>
      </w:pPr>
      <w:r>
        <w:rPr>
          <w:rFonts w:ascii="Calibri" w:hAnsi="Calibri"/>
          <w:sz w:val="24"/>
        </w:rPr>
        <w:t xml:space="preserve">• </w:t>
      </w:r>
      <w:r>
        <w:rPr>
          <w:rFonts w:ascii="Calibri" w:hAnsi="Calibri"/>
          <w:b/>
          <w:sz w:val="24"/>
        </w:rPr>
        <w:t>Rollback:</w:t>
      </w:r>
      <w:r>
        <w:rPr>
          <w:rFonts w:ascii="Calibri" w:hAnsi="Calibri"/>
          <w:sz w:val="24"/>
        </w:rPr>
        <w:t xml:space="preserve"> Available until decommission complete</w:t>
      </w:r>
    </w:p>
    <w:p>
      <w:pPr>
        <w:pStyle w:val="Heading2"/>
        <w:spacing w:before="240" w:after="120"/>
        <w:ind w:left="0"/>
      </w:pPr>
      <w:r>
        <w:t>9.6 Rollback Strategy</w:t>
      </w:r>
    </w:p>
    <w:p>
      <w:r>
        <w:rPr>
          <w:rFonts w:ascii="Calibri" w:hAnsi="Calibri"/>
          <w:sz w:val="24"/>
        </w:rPr>
        <w:t>Rollback procedures are documented for each migration wave.</w:t>
      </w:r>
    </w:p>
    <w:p>
      <w:pPr>
        <w:spacing w:after="80"/>
        <w:ind w:left="360"/>
      </w:pPr>
      <w:r>
        <w:rPr>
          <w:rFonts w:ascii="Calibri" w:hAnsi="Calibri"/>
          <w:sz w:val="24"/>
        </w:rPr>
        <w:t xml:space="preserve">• </w:t>
      </w:r>
      <w:r>
        <w:rPr>
          <w:rFonts w:ascii="Calibri" w:hAnsi="Calibri"/>
          <w:sz w:val="24"/>
        </w:rPr>
        <w:t>Source systems remain operational until validation complete</w:t>
      </w:r>
    </w:p>
    <w:p>
      <w:pPr>
        <w:spacing w:after="80"/>
        <w:ind w:left="360"/>
      </w:pPr>
      <w:r>
        <w:rPr>
          <w:rFonts w:ascii="Calibri" w:hAnsi="Calibri"/>
          <w:sz w:val="24"/>
        </w:rPr>
        <w:t xml:space="preserve">• </w:t>
      </w:r>
      <w:r>
        <w:rPr>
          <w:rFonts w:ascii="Calibri" w:hAnsi="Calibri"/>
          <w:sz w:val="24"/>
        </w:rPr>
        <w:t>AWS MGN maintains continuous replication until cutover</w:t>
      </w:r>
    </w:p>
    <w:p>
      <w:pPr>
        <w:spacing w:after="80"/>
        <w:ind w:left="360"/>
      </w:pPr>
      <w:r>
        <w:rPr>
          <w:rFonts w:ascii="Calibri" w:hAnsi="Calibri"/>
          <w:sz w:val="24"/>
        </w:rPr>
        <w:t xml:space="preserve">• </w:t>
      </w:r>
      <w:r>
        <w:rPr>
          <w:rFonts w:ascii="Calibri" w:hAnsi="Calibri"/>
          <w:sz w:val="24"/>
        </w:rPr>
        <w:t>DNS can be reverted within minutes</w:t>
      </w:r>
    </w:p>
    <w:p>
      <w:pPr>
        <w:spacing w:after="80"/>
        <w:ind w:left="360"/>
      </w:pPr>
      <w:r>
        <w:rPr>
          <w:rFonts w:ascii="Calibri" w:hAnsi="Calibri"/>
          <w:sz w:val="24"/>
        </w:rPr>
        <w:t xml:space="preserve">• </w:t>
      </w:r>
      <w:r>
        <w:rPr>
          <w:rFonts w:ascii="Calibri" w:hAnsi="Calibri"/>
          <w:sz w:val="24"/>
        </w:rPr>
        <w:t>Database restore from pre-cutover snapshot</w:t>
      </w:r>
    </w:p>
    <w:p>
      <w:pPr>
        <w:pStyle w:val="Heading1"/>
        <w:spacing w:before="160" w:after="120"/>
        <w:ind w:left="0"/>
      </w:pPr>
      <w:r>
        <w:t>10 Appendices</w:t>
      </w:r>
    </w:p>
    <w:p>
      <w:pPr>
        <w:pStyle w:val="Heading2"/>
        <w:spacing w:before="240" w:after="120"/>
        <w:ind w:left="0"/>
      </w:pPr>
      <w:r>
        <w:t>10.1 Architecture Diagrams</w:t>
      </w:r>
    </w:p>
    <w:p>
      <w:r>
        <w:rPr>
          <w:rFonts w:ascii="Calibri" w:hAnsi="Calibri"/>
          <w:sz w:val="24"/>
        </w:rPr>
        <w:t>The following diagrams provide visual representation of the target architecture.</w:t>
      </w:r>
    </w:p>
    <w:p>
      <w:pPr>
        <w:spacing w:after="80"/>
        <w:ind w:left="360"/>
      </w:pPr>
      <w:r>
        <w:rPr>
          <w:rFonts w:ascii="Calibri" w:hAnsi="Calibri"/>
          <w:sz w:val="24"/>
        </w:rPr>
        <w:t xml:space="preserve">• </w:t>
      </w:r>
      <w:r>
        <w:rPr>
          <w:rFonts w:ascii="Calibri" w:hAnsi="Calibri"/>
          <w:sz w:val="24"/>
        </w:rPr>
        <w:t>AWS Landing Zone Multi-Account Structure</w:t>
      </w:r>
    </w:p>
    <w:p>
      <w:pPr>
        <w:spacing w:after="80"/>
        <w:ind w:left="360"/>
      </w:pPr>
      <w:r>
        <w:rPr>
          <w:rFonts w:ascii="Calibri" w:hAnsi="Calibri"/>
          <w:sz w:val="24"/>
        </w:rPr>
        <w:t xml:space="preserve">• </w:t>
      </w:r>
      <w:r>
        <w:rPr>
          <w:rFonts w:ascii="Calibri" w:hAnsi="Calibri"/>
          <w:sz w:val="24"/>
        </w:rPr>
        <w:t>VPC Network Architecture</w:t>
      </w:r>
    </w:p>
    <w:p>
      <w:pPr>
        <w:spacing w:after="80"/>
        <w:ind w:left="360"/>
      </w:pPr>
      <w:r>
        <w:rPr>
          <w:rFonts w:ascii="Calibri" w:hAnsi="Calibri"/>
          <w:sz w:val="24"/>
        </w:rPr>
        <w:t xml:space="preserve">• </w:t>
      </w:r>
      <w:r>
        <w:rPr>
          <w:rFonts w:ascii="Calibri" w:hAnsi="Calibri"/>
          <w:sz w:val="24"/>
        </w:rPr>
        <w:t>Application Migration Flow</w:t>
      </w:r>
    </w:p>
    <w:p>
      <w:pPr>
        <w:spacing w:after="80"/>
        <w:ind w:left="360"/>
      </w:pPr>
      <w:r>
        <w:rPr>
          <w:rFonts w:ascii="Calibri" w:hAnsi="Calibri"/>
          <w:sz w:val="24"/>
        </w:rPr>
        <w:t xml:space="preserve">• </w:t>
      </w:r>
      <w:r>
        <w:rPr>
          <w:rFonts w:ascii="Calibri" w:hAnsi="Calibri"/>
          <w:sz w:val="24"/>
        </w:rPr>
        <w:t>Security Control Mapping</w:t>
      </w:r>
    </w:p>
    <w:p>
      <w:pPr>
        <w:pStyle w:val="Heading2"/>
        <w:spacing w:before="240" w:after="120"/>
        <w:ind w:left="0"/>
      </w:pPr>
      <w:r>
        <w:t>10.2 Naming Conventions</w:t>
      </w:r>
    </w:p>
    <w:p>
      <w:r>
        <w:rPr>
          <w:rFonts w:ascii="Calibri" w:hAnsi="Calibri"/>
          <w:sz w:val="24"/>
        </w:rPr>
        <w:t>All AWS resources follow standardized naming conventions.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 Type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Pattern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`{env}-{app}-{region}-vpc`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`prod-migration-use1-vpc`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`{env}-{tier}-{az}`</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`prod-priv-use1a`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EC2 Instance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`{env}-{app}-{number}`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`prod-crm-01`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RDS Cluster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`{env}-{app}-{db}`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`prod-crm-mysql`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Bucket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`{company}-{env}-{purpose}`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`acme-prod-documents`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15</w:t>
      </w:r>
      <w:r>
        <w:fldChar w:fldCharType="end"/>
      </w:r>
      <w:r>
        <w:rPr>
          <w:rFonts w:ascii="Calibri" w:hAnsi="Calibri"/>
          <w:sz w:val="20"/>
        </w:rPr>
        <w:t>: Naming Conventions</w:t>
      </w:r>
    </w:p>
    <w:p>
      <w:pPr>
        <w:pStyle w:val="Heading2"/>
        <w:spacing w:before="240" w:after="120"/>
        <w:ind w:left="0"/>
      </w:pPr>
      <w:r>
        <w:t>10.3 Tagging Standards</w:t>
      </w:r>
    </w:p>
    <w:p>
      <w:r>
        <w:rPr>
          <w:rFonts w:ascii="Calibri" w:hAnsi="Calibri"/>
          <w:sz w:val="24"/>
        </w:rPr>
        <w:t>Resource tagging enables cost allocation and operational automation.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 Values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staging, dev</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crm, erp, web-portal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Owner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cloud-ops@company.com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CostCenter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MigrationWave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wave-1, wave-2, wave-3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16</w:t>
      </w:r>
      <w:r>
        <w:fldChar w:fldCharType="end"/>
      </w:r>
      <w:r>
        <w:rPr>
          <w:rFonts w:ascii="Calibri" w:hAnsi="Calibri"/>
          <w:sz w:val="20"/>
        </w:rPr>
        <w:t>: Tagging Standards</w:t>
      </w:r>
    </w:p>
    <w:p>
      <w:pPr>
        <w:pStyle w:val="Heading2"/>
        <w:spacing w:before="240" w:after="120"/>
        <w:ind w:left="0"/>
      </w:pPr>
      <w:r>
        <w:t>10.4 Risk Register</w:t>
      </w:r>
    </w:p>
    <w:p>
      <w:r>
        <w:rPr>
          <w:rFonts w:ascii="Calibri" w:hAnsi="Calibri"/>
          <w:sz w:val="24"/>
        </w:rPr>
        <w:t>The following risks have been identified with mitigation strategies.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Likelihood</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loss during migration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replication, validation checksums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Extended cutover window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Rehearsal cutovers, rollback procedures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incompatibility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Pre-migration assessment, pilot testing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bandwidth constraints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Off-hours data transfer, throttling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adoption issues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42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communication plan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17</w:t>
      </w:r>
      <w:r>
        <w:fldChar w:fldCharType="end"/>
      </w:r>
      <w:r>
        <w:rPr>
          <w:rFonts w:ascii="Calibri" w:hAnsi="Calibri"/>
          <w:sz w:val="20"/>
        </w:rPr>
        <w:t>: Risk Register</w:t>
      </w:r>
    </w:p>
    <w:p>
      <w:pPr>
        <w:pStyle w:val="Heading2"/>
        <w:spacing w:before="240" w:after="120"/>
        <w:ind w:left="0"/>
      </w:pPr>
      <w:r>
        <w:t>10.5 Glossary</w:t>
      </w:r>
    </w:p>
    <w:p>
      <w:r>
        <w:rPr>
          <w:rFonts w:ascii="Calibri" w:hAnsi="Calibri"/>
          <w:sz w:val="24"/>
        </w:rPr>
        <w:t>The following terms and acronyms are used throughout this document.</w:t>
      </w:r>
    </w:p>
    <w:tbl>
      <w:tblPr>
        <w:tblStyle w:val="TableGrid"/>
        <w:tblW w:type="auto" w:w="0"/>
        <w:tblLayout w:type="fixed"/>
        <w:tblLook w:firstColumn="1" w:firstRow="1" w:lastColumn="0" w:lastRow="0" w:noHBand="0" w:noVBand="1" w:val="04A0"/>
      </w:tblPr>
      <w:tblGrid>
        <w:gridCol w:w="4320"/>
        <w:gridCol w:w="432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Term</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Definition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MGN</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Application Migration Service for lift-and-shift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DMS</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Database Migration 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CDC</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Change Data Capture for continuous replication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Control Tower</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service for multi-account landing zone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MAP</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Migration Acceleration Program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Private Cloud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6Rs</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strategies: Rehost, Replatform, Repurchase, Refactor, Retire, Retain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18</w:t>
      </w:r>
      <w:r>
        <w:fldChar w:fldCharType="end"/>
      </w:r>
      <w:r>
        <w:rPr>
          <w:rFonts w:ascii="Calibri" w:hAnsi="Calibri"/>
          <w:sz w:val="20"/>
        </w:rPr>
        <w:t>: Glossary</w:t>
      </w:r>
    </w:p>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Detailed Design Document</w:t>
      <w:tab/>
      <w:tab/>
      <w:t>AWS On-Premise to Cloud Migration</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