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Sentinel SIEM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step-by-step instructions for deploying Azure Sentinel SIEM following security operations best practices. The implementation follows a phased approach to minimize risk while rapidly establishing security monitoring and threat detection capabilities.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Implementation Timeline:</w:t>
      </w:r>
      <w:r>
        <w:rPr>
          <w:rFonts w:ascii="Times New Roman" w:hAnsi="Times New Roman"/>
          <w:sz w:val="24"/>
        </w:rPr>
        <w:t xml:space="preserve"> 6-12 weeks  </w:t>
        <w:br/>
      </w:r>
      <w:r>
        <w:rPr>
          <w:rFonts w:ascii="Times New Roman" w:hAnsi="Times New Roman"/>
          <w:b/>
          <w:sz w:val="24"/>
        </w:rPr>
        <w:t>Complexity Level:</w:t>
      </w:r>
      <w:r>
        <w:rPr>
          <w:rFonts w:ascii="Times New Roman" w:hAnsi="Times New Roman"/>
          <w:sz w:val="24"/>
        </w:rPr>
        <w:t xml:space="preserve"> Advanced  </w:t>
        <w:br/>
      </w:r>
      <w:r>
        <w:rPr>
          <w:rFonts w:ascii="Times New Roman" w:hAnsi="Times New Roman"/>
          <w:b/>
          <w:sz w:val="24"/>
        </w:rPr>
        <w:t>Prerequisites:</w:t>
      </w:r>
      <w:r>
        <w:rPr>
          <w:rFonts w:ascii="Times New Roman" w:hAnsi="Times New Roman"/>
          <w:sz w:val="24"/>
        </w:rPr>
        <w:t xml:space="preserve"> Azure Security Administrator access, data source inventory, SOC team readiness</w:t>
      </w:r>
    </w:p>
    <w:p>
      <w:pPr>
        <w:pStyle w:val="Heading2"/>
        <w:spacing w:before="240" w:after="120"/>
        <w:ind w:left="0" w:firstLine="0"/>
      </w:pPr>
      <w:r>
        <w:t>2 Implementation Phases</w:t>
      </w:r>
    </w:p>
    <w:p>
      <w:pPr>
        <w:pStyle w:val="Heading3"/>
        <w:spacing w:before="160" w:after="120"/>
        <w:ind w:left="0" w:firstLine="0"/>
      </w:pPr>
      <w:r>
        <w:t>2.1 Phase 1: Environment Preparation and Workspace Setup (Weeks 1-2)</w:t>
      </w:r>
    </w:p>
    <w:p>
      <w:pPr>
        <w:pStyle w:val="Heading4"/>
        <w:spacing w:before="160" w:after="120"/>
        <w:ind w:left="0" w:firstLine="0"/>
      </w:pPr>
      <w:r>
        <w:t>2.1.1 1.1 Prerequisites Validation</w:t>
      </w:r>
    </w:p>
    <w:p>
      <w:pPr>
        <w:spacing w:after="160"/>
      </w:pPr>
      <w:r>
        <w:rPr>
          <w:rFonts w:ascii="Times New Roman" w:hAnsi="Times New Roman"/>
          <w:sz w:val="24"/>
        </w:rPr>
        <w:t>This section provides comprehensive prerequisites for successfully implementing the Azure Sentinel SIEM solution. All requirements must be validated before beginning implementation.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⏱️ Quick Reference Summary: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Timeline</w:t>
      </w:r>
      <w:r>
        <w:rPr>
          <w:rFonts w:ascii="Times New Roman" w:hAnsi="Times New Roman"/>
          <w:sz w:val="24"/>
        </w:rPr>
        <w:t>: 6-12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Complexity Level</w:t>
      </w:r>
      <w:r>
        <w:rPr>
          <w:rFonts w:ascii="Times New Roman" w:hAnsi="Times New Roman"/>
          <w:sz w:val="24"/>
        </w:rPr>
        <w:t>: Advanced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Category</w:t>
      </w:r>
      <w:r>
        <w:rPr>
          <w:rFonts w:ascii="Times New Roman" w:hAnsi="Times New Roman"/>
          <w:sz w:val="24"/>
        </w:rPr>
        <w:t>: High (based on data ingestion volume)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Team Size</w:t>
      </w:r>
      <w:r>
        <w:rPr>
          <w:rFonts w:ascii="Times New Roman" w:hAnsi="Times New Roman"/>
          <w:sz w:val="24"/>
        </w:rPr>
        <w:t>: 3-6 technical resources (depending on scope)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Required Permissions: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Administrator in Azure Active Directory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Contributor role on target Azure subscription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Contributor for workspace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Insights Contributor for Sentinel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Global Administrator (for certain connector configurations)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☁️ Azure Platform Requirements: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access to Azure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service quotas and resource limits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with sufficient bandwidth for data ingestion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access controls and firewall configurations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📦 Required Services Access: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Sentinel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Monitor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Analytics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Center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Logic Apps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Technical Prerequisites: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🎯 Required Technical Skills: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Operations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SIEM Administration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KQL Queries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 Analysis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📈 Experience Levels: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Lead Architect</w:t>
      </w:r>
      <w:r>
        <w:rPr>
          <w:rFonts w:ascii="Times New Roman" w:hAnsi="Times New Roman"/>
          <w:sz w:val="24"/>
        </w:rPr>
        <w:t>: 5+ years cloud architecture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3+ years relevant technology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2+ years production support experience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💵 Cost Categories: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Costs</w:t>
      </w:r>
      <w:r>
        <w:rPr>
          <w:rFonts w:ascii="Times New Roman" w:hAnsi="Times New Roman"/>
          <w:sz w:val="24"/>
        </w:rPr>
        <w:t>: $10,000 - $50,000+ monthly (based on scale)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Licensing Fees</w:t>
      </w:r>
      <w:r>
        <w:rPr>
          <w:rFonts w:ascii="Times New Roman" w:hAnsi="Times New Roman"/>
          <w:sz w:val="24"/>
        </w:rPr>
        <w:t>: $5,000 - $25,000+ monthly (service-dependent)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Professional Services</w:t>
      </w:r>
      <w:r>
        <w:rPr>
          <w:rFonts w:ascii="Times New Roman" w:hAnsi="Times New Roman"/>
          <w:sz w:val="24"/>
        </w:rPr>
        <w:t>: $75,000 - $200,000 (implementation)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and Certification</w:t>
      </w:r>
      <w:r>
        <w:rPr>
          <w:rFonts w:ascii="Times New Roman" w:hAnsi="Times New Roman"/>
          <w:sz w:val="24"/>
        </w:rPr>
        <w:t>: $15,000 - $30,000 (team preparation)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Ongoing Support</w:t>
      </w:r>
      <w:r>
        <w:rPr>
          <w:rFonts w:ascii="Times New Roman" w:hAnsi="Times New Roman"/>
          <w:sz w:val="24"/>
        </w:rPr>
        <w:t>: 15-20% of infrastructure costs annually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and Security Planning: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source connectivity requirements and firewall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 workspace sizing calculations (minimum 100GB/day for enterprise)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retention and compliance requirements (2+ years hot storage)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points with existing security tools</w:t>
      </w:r>
    </w:p>
    <w:p>
      <w:pPr>
        <w:pStyle w:val="Heading4"/>
        <w:spacing w:before="160" w:after="120"/>
        <w:ind w:left="0" w:firstLine="0"/>
      </w:pPr>
      <w:r>
        <w:t>2.1.2 1.2 Log Analytics Workspace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Dedicated Security Workspace: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Workspace Settings:</w:t>
      </w:r>
    </w:p>
    <w:p>
      <w:pPr>
        <w:pStyle w:val="Heading4"/>
        <w:spacing w:before="160" w:after="120"/>
        <w:ind w:left="0" w:firstLine="0"/>
      </w:pPr>
      <w:r>
        <w:t>2.1.3 1.3 Azure Sentinel Enablement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Enable Sentinel on Workspace: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Sentinel Settings:</w:t>
      </w:r>
    </w:p>
    <w:p>
      <w:pPr>
        <w:pStyle w:val="Heading3"/>
        <w:spacing w:before="160" w:after="120"/>
        <w:ind w:left="0" w:firstLine="0"/>
      </w:pPr>
      <w:r>
        <w:t>2.2 Phase 2: Data Source Integration (Weeks 2-4)</w:t>
      </w:r>
    </w:p>
    <w:p>
      <w:pPr>
        <w:pStyle w:val="Heading4"/>
        <w:spacing w:before="160" w:after="120"/>
        <w:ind w:left="0" w:firstLine="0"/>
      </w:pPr>
      <w:r>
        <w:t>2.2.1 2.1 Azure Native Data Sources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Azure Activity Logs Integration: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Azure Security Center Integration: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Azure AD Integration:</w:t>
      </w:r>
    </w:p>
    <w:p>
      <w:pPr>
        <w:pStyle w:val="Heading4"/>
        <w:spacing w:before="160" w:after="120"/>
        <w:ind w:left="0" w:firstLine="0"/>
      </w:pPr>
      <w:r>
        <w:t>2.2.2 2.2 Microsoft 365 Integration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Microsoft 365 Defender Integration:</w:t>
      </w:r>
    </w:p>
    <w:p>
      <w:pPr>
        <w:pStyle w:val="Heading4"/>
        <w:spacing w:before="160" w:after="120"/>
        <w:ind w:left="0" w:firstLine="0"/>
      </w:pPr>
      <w:r>
        <w:t>2.2.3 2.3 Windows Security Events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Azure Monitor Agent: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Windows Security Events DCR (windows-security-dcr.json):</w:t>
      </w:r>
    </w:p>
    <w:p>
      <w:pPr>
        <w:pStyle w:val="Heading4"/>
        <w:spacing w:before="160" w:after="120"/>
        <w:ind w:left="0" w:firstLine="0"/>
      </w:pPr>
      <w:r>
        <w:t>2.2.4 2.4 Network and Infrastructure Data Sources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Syslog Data Collection: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Syslog DCR Configuration (syslog-dcr.json):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Common Event Format (CEF) via Syslog:</w:t>
      </w:r>
    </w:p>
    <w:p>
      <w:pPr>
        <w:pStyle w:val="Heading3"/>
        <w:spacing w:before="160" w:after="120"/>
        <w:ind w:left="0" w:firstLine="0"/>
      </w:pPr>
      <w:r>
        <w:t>2.3 Phase 3: Analytics Rules and Detection (Weeks 4-6)</w:t>
      </w:r>
    </w:p>
    <w:p>
      <w:pPr>
        <w:pStyle w:val="Heading4"/>
        <w:spacing w:before="160" w:after="120"/>
        <w:ind w:left="0" w:firstLine="0"/>
      </w:pPr>
      <w:r>
        <w:t>2.3.1 3.1 Built-in Analytics Rules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Enable Critical Detection Rules:</w:t>
      </w:r>
    </w:p>
    <w:p>
      <w:pPr>
        <w:pStyle w:val="Heading4"/>
        <w:spacing w:before="160" w:after="120"/>
        <w:ind w:left="0" w:firstLine="0"/>
      </w:pPr>
      <w:r>
        <w:t>2.3.2 3.2 Custom Analytics Rules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Suspicious Login Pattern Detection: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Custom Analytics Rule:</w:t>
      </w:r>
    </w:p>
    <w:p>
      <w:pPr>
        <w:pStyle w:val="Heading4"/>
        <w:spacing w:before="160" w:after="120"/>
        <w:ind w:left="0" w:firstLine="0"/>
      </w:pPr>
      <w:r>
        <w:t>2.3.3 3.3 Machine Learning Analytics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Enable Anomaly Detection:</w:t>
      </w:r>
    </w:p>
    <w:p>
      <w:pPr>
        <w:pStyle w:val="Heading3"/>
        <w:spacing w:before="160" w:after="120"/>
        <w:ind w:left="0" w:firstLine="0"/>
      </w:pPr>
      <w:r>
        <w:t>2.4 Phase 4: Incident Response and Automation (Weeks 6-8)</w:t>
      </w:r>
    </w:p>
    <w:p>
      <w:pPr>
        <w:pStyle w:val="Heading4"/>
        <w:spacing w:before="160" w:after="120"/>
        <w:ind w:left="0" w:firstLine="0"/>
      </w:pPr>
      <w:r>
        <w:t>2.4.1 4.1 Incident Response Workflows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Incident Settings:</w:t>
      </w:r>
    </w:p>
    <w:p>
      <w:pPr>
        <w:pStyle w:val="Heading4"/>
        <w:spacing w:before="160" w:after="120"/>
        <w:ind w:left="0" w:firstLine="0"/>
      </w:pPr>
      <w:r>
        <w:t>2.4.2 4.2 Automated Response Playbooks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Logic App for Automated Response: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Incident Response Logic App Definition:</w:t>
      </w:r>
    </w:p>
    <w:p>
      <w:pPr>
        <w:pStyle w:val="Heading4"/>
        <w:spacing w:before="160" w:after="120"/>
        <w:ind w:left="0" w:firstLine="0"/>
      </w:pPr>
      <w:r>
        <w:t>2.4.3 4.3 User Account Disable Playbook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Account Disable Playbook:</w:t>
      </w:r>
    </w:p>
    <w:p>
      <w:pPr>
        <w:pStyle w:val="Heading3"/>
        <w:spacing w:before="160" w:after="120"/>
        <w:ind w:left="0" w:firstLine="0"/>
      </w:pPr>
      <w:r>
        <w:t>2.5 Phase 5: Threat Hunting and Intelligence (Weeks 8-10)</w:t>
      </w:r>
    </w:p>
    <w:p>
      <w:pPr>
        <w:pStyle w:val="Heading4"/>
        <w:spacing w:before="160" w:after="120"/>
        <w:ind w:left="0" w:firstLine="0"/>
      </w:pPr>
      <w:r>
        <w:t>2.5.1 5.1 Threat Hunting Queries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Advanced Hunting Queries: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Lateral Movement Detection:</w:t>
      </w:r>
    </w:p>
    <w:p>
      <w:pPr>
        <w:pStyle w:val="Heading4"/>
        <w:spacing w:before="160" w:after="120"/>
        <w:ind w:left="0" w:firstLine="0"/>
      </w:pPr>
      <w:r>
        <w:t>2.5.2 5.2 Threat Intelligence Integration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Threat Intelligence Connectors:</w:t>
      </w:r>
    </w:p>
    <w:p>
      <w:pPr>
        <w:pStyle w:val="Heading4"/>
        <w:spacing w:before="160" w:after="120"/>
        <w:ind w:left="0" w:firstLine="0"/>
      </w:pPr>
      <w:r>
        <w:t>2.5.3 5.3 Watchlists and IoC Management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Watchlists for Known Bad Indicators:</w:t>
      </w:r>
    </w:p>
    <w:p>
      <w:pPr>
        <w:pStyle w:val="Heading3"/>
        <w:spacing w:before="160" w:after="120"/>
        <w:ind w:left="0" w:firstLine="0"/>
      </w:pPr>
      <w:r>
        <w:t>2.6 Phase 6: Workbooks and Reporting (Weeks 10-12)</w:t>
      </w:r>
    </w:p>
    <w:p>
      <w:pPr>
        <w:pStyle w:val="Heading4"/>
        <w:spacing w:before="160" w:after="120"/>
        <w:ind w:left="0" w:firstLine="0"/>
      </w:pPr>
      <w:r>
        <w:t>2.6.1 6.1 Security Operations Workbook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SOC Overview Workbook:</w:t>
      </w:r>
    </w:p>
    <w:p>
      <w:pPr>
        <w:pStyle w:val="Heading2"/>
        <w:spacing w:before="240" w:after="120"/>
        <w:ind w:left="0" w:firstLine="0"/>
      </w:pPr>
      <w:r>
        <w:t>3 Post-Deployment Validation</w:t>
      </w:r>
    </w:p>
    <w:p>
      <w:pPr>
        <w:pStyle w:val="Heading3"/>
        <w:spacing w:before="160" w:after="120"/>
        <w:ind w:left="0" w:firstLine="0"/>
      </w:pPr>
      <w:r>
        <w:t>3.1 Data Flow Validation</w:t>
      </w:r>
    </w:p>
    <w:p>
      <w:pPr>
        <w:pStyle w:val="Heading3"/>
        <w:spacing w:before="160" w:after="120"/>
        <w:ind w:left="0" w:firstLine="0"/>
      </w:pPr>
      <w:r>
        <w:t>3.2 Analytics Rules Testing</w:t>
      </w:r>
    </w:p>
    <w:p>
      <w:pPr>
        <w:pStyle w:val="Heading3"/>
        <w:spacing w:before="160" w:after="120"/>
        <w:ind w:left="0" w:firstLine="0"/>
      </w:pPr>
      <w:r>
        <w:t>3.3 Incident Creation Validation</w:t>
      </w:r>
    </w:p>
    <w:p>
      <w:pPr>
        <w:pStyle w:val="Heading2"/>
        <w:spacing w:before="240" w:after="120"/>
        <w:ind w:left="0" w:firstLine="0"/>
      </w:pPr>
      <w:r>
        <w:t>4 Troubleshooting and Issue Resolution</w:t>
      </w:r>
    </w:p>
    <w:p>
      <w:pPr>
        <w:pStyle w:val="Heading3"/>
        <w:spacing w:before="160" w:after="120"/>
        <w:ind w:left="0" w:firstLine="0"/>
      </w:pPr>
      <w:r>
        <w:t>4.1 Common Implementation Issues</w:t>
      </w:r>
    </w:p>
    <w:p>
      <w:pPr>
        <w:pStyle w:val="Heading4"/>
        <w:spacing w:before="160" w:after="120"/>
        <w:ind w:left="0" w:firstLine="0"/>
      </w:pPr>
      <w:r>
        <w:t>4.1.1 🔧 Configuration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Service Configuration Errors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validation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startup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Parameter validation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Deployment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Validate configuration against provided templates</w:t>
      </w:r>
    </w:p>
    <w:p>
      <w:pPr>
        <w:spacing w:after="160"/>
      </w:pPr>
      <w:r>
        <w:rPr>
          <w:rFonts w:ascii="Times New Roman" w:hAnsi="Times New Roman"/>
          <w:sz w:val="24"/>
        </w:rPr>
        <w:t>Check parameter formats and required values</w:t>
      </w:r>
    </w:p>
    <w:p>
      <w:pPr>
        <w:spacing w:after="160"/>
      </w:pPr>
      <w:r>
        <w:rPr>
          <w:rFonts w:ascii="Times New Roman" w:hAnsi="Times New Roman"/>
          <w:sz w:val="24"/>
        </w:rPr>
        <w:t>Verify service dependencies and prerequisites</w:t>
      </w:r>
    </w:p>
    <w:p>
      <w:pPr>
        <w:spacing w:after="160"/>
      </w:pPr>
      <w:r>
        <w:rPr>
          <w:rFonts w:ascii="Times New Roman" w:hAnsi="Times New Roman"/>
          <w:sz w:val="24"/>
        </w:rPr>
        <w:t>Review deployment logs for specific error messages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Prevention: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 provided configuration templates as baseline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configurations before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configuration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configuration audits and reviews</w:t>
      </w:r>
    </w:p>
    <w:p>
      <w:pPr>
        <w:pStyle w:val="Heading4"/>
        <w:spacing w:before="160" w:after="120"/>
        <w:ind w:left="0" w:firstLine="0"/>
      </w:pPr>
      <w:r>
        <w:t>4.1.2 🌐 Connectivity and Network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Network Connectivity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Connection timeouts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DNS resolution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Port accessibility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Certificate errors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Layer Testing: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Group/Firewall Validation: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firewall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port accessibility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network ACL settings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DNS and Certificate Verification: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Confirm DNS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SSL/TLS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certificate expiration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certificate chains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security groups and firewall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DNS settings and records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Renew or replace expired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network access control lists</w:t>
      </w:r>
    </w:p>
    <w:p>
      <w:pPr>
        <w:pStyle w:val="Heading4"/>
        <w:spacing w:before="160" w:after="120"/>
        <w:ind w:left="0" w:firstLine="0"/>
      </w:pPr>
      <w:r>
        <w:t>4.1.3 ⚡ Performance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High Latency and Slow Response Times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Response times exceeding SLA targets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experience degradation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Timeout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alerts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Metrics Analysis: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Resource Utilization Assessment: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CPU and memory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query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latency measurements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response times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compute resources horizontally or vertically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KQL queries and indexes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caching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resource allocation and limits</w:t>
      </w:r>
    </w:p>
    <w:p>
      <w:pPr>
        <w:pStyle w:val="Heading4"/>
        <w:spacing w:before="160" w:after="120"/>
        <w:ind w:left="0" w:firstLine="0"/>
      </w:pPr>
      <w:r>
        <w:t>4.1.4 🔐 Security and Access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Authentication and Authorization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Login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Access denied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Permission-related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problems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Verify user credentials and account status</w:t>
      </w:r>
    </w:p>
    <w:p>
      <w:pPr>
        <w:spacing w:after="160"/>
      </w:pPr>
      <w:r>
        <w:rPr>
          <w:rFonts w:ascii="Times New Roman" w:hAnsi="Times New Roman"/>
          <w:sz w:val="24"/>
        </w:rPr>
        <w:t>Check role and permission assignments</w:t>
      </w:r>
    </w:p>
    <w:p>
      <w:pPr>
        <w:spacing w:after="160"/>
      </w:pPr>
      <w:r>
        <w:rPr>
          <w:rFonts w:ascii="Times New Roman" w:hAnsi="Times New Roman"/>
          <w:sz w:val="24"/>
        </w:rPr>
        <w:t>Review authentication provider connectivity</w:t>
      </w:r>
    </w:p>
    <w:p>
      <w:pPr>
        <w:spacing w:after="160"/>
      </w:pPr>
      <w:r>
        <w:rPr>
          <w:rFonts w:ascii="Times New Roman" w:hAnsi="Times New Roman"/>
          <w:sz w:val="24"/>
        </w:rPr>
        <w:t>Validate multi-factor authentication setup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Reset user credentials and passwords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role assignments and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 authentication provider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Reconfigure multi-factor authentication</w:t>
      </w:r>
    </w:p>
    <w:p>
      <w:pPr>
        <w:pStyle w:val="Heading3"/>
        <w:spacing w:before="160" w:after="120"/>
        <w:ind w:left="0" w:firstLine="0"/>
      </w:pPr>
      <w:r>
        <w:t>4.2 🆘 Escalation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When to Escalate: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Issue resolution exceeds 4 hours of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Multiple system components affected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incidents or potential breaches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loss or corruption suspected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Business-critical operations impacted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📋 Escalation Information Required: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Problem Description: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symptoms and error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Timeline of issue occurrence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Impact assessment and affected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Previous troubleshooting attempts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System Information: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Environment details (production, staging,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Software versions and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Recent changes or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system status and metrics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📧 Escalation Contacts: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2 Support</w:t>
      </w:r>
      <w:r>
        <w:rPr>
          <w:rFonts w:ascii="Times New Roman" w:hAnsi="Times New Roman"/>
          <w:sz w:val="24"/>
        </w:rPr>
        <w:t>: Technical specialists for complex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Architecture Team</w:t>
      </w:r>
      <w:r>
        <w:rPr>
          <w:rFonts w:ascii="Times New Roman" w:hAnsi="Times New Roman"/>
          <w:sz w:val="24"/>
        </w:rPr>
        <w:t>: Design and integration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Team</w:t>
      </w:r>
      <w:r>
        <w:rPr>
          <w:rFonts w:ascii="Times New Roman" w:hAnsi="Times New Roman"/>
          <w:sz w:val="24"/>
        </w:rPr>
        <w:t>: Security incidents and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Support</w:t>
      </w:r>
      <w:r>
        <w:rPr>
          <w:rFonts w:ascii="Times New Roman" w:hAnsi="Times New Roman"/>
          <w:sz w:val="24"/>
        </w:rPr>
        <w:t>: Azure Sentinel service issues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the foundation for deploying enterprise-grade Azure Sentinel SIEM capabilities with automated threat detection, incident response, and security operations workflows.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Sentinel SIEM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