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Secure Access - Business Case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</w:t>
      </w:r>
      <w:r>
        <w:rPr>
          <w:rFonts w:ascii="Times New Roman" w:hAnsi="Times New Roman"/>
          <w:sz w:val="24"/>
        </w:rPr>
        <w:t>: Secure Access</w:t>
        <w:br/>
      </w:r>
      <w:r>
        <w:rPr>
          <w:rFonts w:ascii="Times New Roman" w:hAnsi="Times New Roman"/>
          <w:b/>
          <w:sz w:val="24"/>
        </w:rPr>
        <w:t>Provider</w:t>
      </w:r>
      <w:r>
        <w:rPr>
          <w:rFonts w:ascii="Times New Roman" w:hAnsi="Times New Roman"/>
          <w:sz w:val="24"/>
        </w:rPr>
        <w:t>: Cisco</w:t>
        <w:br/>
      </w:r>
      <w:r>
        <w:rPr>
          <w:rFonts w:ascii="Times New Roman" w:hAnsi="Times New Roman"/>
          <w:b/>
          <w:sz w:val="24"/>
        </w:rPr>
        <w:t>Investment</w:t>
      </w:r>
      <w:r>
        <w:rPr>
          <w:rFonts w:ascii="Times New Roman" w:hAnsi="Times New Roman"/>
          <w:sz w:val="24"/>
        </w:rPr>
        <w:t>: Strategic technology investment for digital transformation</w:t>
        <w:br/>
      </w:r>
      <w:r>
        <w:rPr>
          <w:rFonts w:ascii="Times New Roman" w:hAnsi="Times New Roman"/>
          <w:b/>
          <w:sz w:val="24"/>
        </w:rPr>
        <w:t>Expected ROI</w:t>
      </w:r>
      <w:r>
        <w:rPr>
          <w:rFonts w:ascii="Times New Roman" w:hAnsi="Times New Roman"/>
          <w:sz w:val="24"/>
        </w:rPr>
        <w:t>: 25-40% over 3 years</w:t>
      </w:r>
    </w:p>
    <w:p>
      <w:pPr>
        <w:pStyle w:val="Heading2"/>
        <w:spacing w:before="240" w:after="120"/>
        <w:ind w:left="0" w:firstLine="0"/>
      </w:pPr>
      <w:r>
        <w:t>2 Business Value Proposition</w:t>
      </w:r>
    </w:p>
    <w:p>
      <w:pPr>
        <w:pStyle w:val="Heading3"/>
        <w:spacing w:before="160" w:after="120"/>
        <w:ind w:left="0" w:firstLine="0"/>
      </w:pPr>
      <w:r>
        <w:t>2.1 Primary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operational efficiency and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Improved scalability and performance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operational costs and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Accelerated innovation and time-to-market</w:t>
      </w:r>
    </w:p>
    <w:p>
      <w:pPr>
        <w:pStyle w:val="Heading3"/>
        <w:spacing w:before="160" w:after="120"/>
        <w:ind w:left="0" w:firstLine="0"/>
      </w:pPr>
      <w:r>
        <w:t>2.2 Strategic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Supports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Enables modernization of legacy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Provides foundation for future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Enhances competitive positioning</w:t>
      </w:r>
    </w:p>
    <w:p>
      <w:pPr>
        <w:pStyle w:val="Heading2"/>
        <w:spacing w:before="240" w:after="120"/>
        <w:ind w:left="0" w:firstLine="0"/>
      </w:pPr>
      <w:r>
        <w:t>3 Financial Analysis</w:t>
      </w:r>
    </w:p>
    <w:p>
      <w:pPr>
        <w:pStyle w:val="Heading3"/>
        <w:spacing w:before="160" w:after="120"/>
        <w:ind w:left="0" w:firstLine="0"/>
      </w:pPr>
      <w:r>
        <w:t>3.1 Investment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implementation investment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enablement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return on investment</w:t>
      </w:r>
    </w:p>
    <w:p>
      <w:pPr>
        <w:pStyle w:val="Heading3"/>
        <w:spacing w:before="160" w:after="120"/>
        <w:ind w:left="0" w:firstLine="0"/>
      </w:pPr>
      <w:r>
        <w:t>3.2 Cost-Benefit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 reductions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Productivity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mitigation value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Strategic capability enhancement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Secure Access - Business Case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