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Cisco Systems - Cisco DNA Center Network Analytics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[Month DD]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[Contact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[OPP-YYYY-###]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[1.0]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the Cisco DNA Center Network Analytics project for [Client Name]. This engagement will deliver an AI-powered network management platform to transform network operations, reduce troubleshooting time by 75%, and achieve 99.9% network uptime with predictive analytics and automation.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16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operates a traditional network infrastructure with manual configuration and reactive troubleshooting.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Reactive Troubleshooting:</w:t>
      </w:r>
      <w:r>
        <w:rPr>
          <w:rFonts w:ascii="Calibri" w:hAnsi="Calibri"/>
          <w:sz w:val="24"/>
        </w:rPr>
        <w:t xml:space="preserve"> Network issues diagnosed manually taking 4-6 hours per incident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Visibility:</w:t>
      </w:r>
      <w:r>
        <w:rPr>
          <w:rFonts w:ascii="Calibri" w:hAnsi="Calibri"/>
          <w:sz w:val="24"/>
        </w:rPr>
        <w:t xml:space="preserve"> No centralized visibility into application performance and network health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Manual Provisioning:</w:t>
      </w:r>
      <w:r>
        <w:rPr>
          <w:rFonts w:ascii="Calibri" w:hAnsi="Calibri"/>
          <w:sz w:val="24"/>
        </w:rPr>
        <w:t xml:space="preserve"> New switch deployments take 4 hours per device with CLI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Compliance Gaps:</w:t>
      </w:r>
      <w:r>
        <w:rPr>
          <w:rFonts w:ascii="Calibri" w:hAnsi="Calibri"/>
          <w:sz w:val="24"/>
        </w:rPr>
        <w:t xml:space="preserve"> Difficulty maintaining consistent security policies across 200+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Unplanned Downtime:</w:t>
      </w:r>
      <w:r>
        <w:rPr>
          <w:rFonts w:ascii="Calibri" w:hAnsi="Calibri"/>
          <w:sz w:val="24"/>
        </w:rPr>
        <w:t xml:space="preserve"> Network failures detected after user complaints rather than proactively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Transform to Proactive Operations:</w:t>
      </w:r>
      <w:r>
        <w:rPr>
          <w:rFonts w:ascii="Calibri" w:hAnsi="Calibri"/>
          <w:sz w:val="24"/>
        </w:rPr>
        <w:t xml:space="preserve"> Deploy AI-powered analytics to predict network failures 14 days in advance, reducing unplanned downtime by 90%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Troubleshooting Time:</w:t>
      </w:r>
      <w:r>
        <w:rPr>
          <w:rFonts w:ascii="Calibri" w:hAnsi="Calibri"/>
          <w:sz w:val="24"/>
        </w:rPr>
        <w:t xml:space="preserve"> Achieve 75% reduction in mean time to repair (MTTR) from 4-6 hours to under 1 hour through AI root cause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Automate Device Provisioning:</w:t>
      </w:r>
      <w:r>
        <w:rPr>
          <w:rFonts w:ascii="Calibri" w:hAnsi="Calibri"/>
          <w:sz w:val="24"/>
        </w:rPr>
        <w:t xml:space="preserve"> Enable zero-touch provisioning reducing switch deployment time from 4 hours to 15 minutes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Network Uptime:</w:t>
      </w:r>
      <w:r>
        <w:rPr>
          <w:rFonts w:ascii="Calibri" w:hAnsi="Calibri"/>
          <w:sz w:val="24"/>
        </w:rPr>
        <w:t xml:space="preserve"> Achieve 99.9% network availability SLA through predictive insights and automated remediation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Application Experience:</w:t>
      </w:r>
      <w:r>
        <w:rPr>
          <w:rFonts w:ascii="Calibri" w:hAnsi="Calibri"/>
          <w:sz w:val="24"/>
        </w:rPr>
        <w:t xml:space="preserve"> Monitor Office 365, Webex, and SAP performance with real-time SLA tracking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Operational Efficiency:</w:t>
      </w:r>
      <w:r>
        <w:rPr>
          <w:rFonts w:ascii="Calibri" w:hAnsi="Calibri"/>
          <w:sz w:val="24"/>
        </w:rPr>
        <w:t xml:space="preserve"> Reduce network management overhead by 60% through centralized DNA Center orchestration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75% reduction in network troubleshooting time (MTTR &lt; 1 hour)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99.9% network uptime SLA achievement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Zero-touch provisioning for new sites (deployment in hours vs weeks)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85% reduction in configuration errors through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14-day advance warning for device failures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discovery and assessment of 200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DNA Center appliance deployment with HA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Network Analytics and assurance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Zero-touch provisioning and automation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experience monitoring for critical business apps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Active Directory, ServiceNow, and NetBox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SD-Access fabric deployment for 100 devices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Testing and validation across campus, branch, and data center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4-week hypercare support period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Features/Capabilities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DNA Center for 200 devices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Customization Level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DNA Center deployment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External System Integrations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systems (AD + ITSM)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Sources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devices only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Total Users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network administrators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Roles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roles (admin + viewer)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Processing Volume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200 devices telemetry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Storage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 GB (90-day retention)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Regions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Single data center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(99.5%)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Complexity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campus network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802.1X and encryption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 Frameworks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logging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telemetry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only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procurement beyond DNA Center appliances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device hardware upgrades or replacements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Wireless LAN controller upgrades or replacements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(network team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post-hypercare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redesign or re-architecture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software licenses (NetBox, ServiceNow)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Foundation (Weeks 1-4)</w:t>
      </w:r>
    </w:p>
    <w:p>
      <w:r>
        <w:rPr>
          <w:rFonts w:ascii="Calibri" w:hAnsi="Calibri"/>
          <w:sz w:val="24"/>
        </w:rPr>
        <w:t>During this initial phase, the Vendor will perform comprehensive network discovery and deploy DNA Center infrastructure.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discovery and assessment of 200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Capacity analysis and device compatibility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DNA Center appliance deployment (primary + secondary HA)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Initial device onboarding for 50 pilot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framework design for automation and analytics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Network Assessment Report</w:t>
      </w:r>
    </w:p>
    <w:p>
      <w:pPr>
        <w:pStyle w:val="Heading3"/>
        <w:spacing w:before="160" w:after="120"/>
        <w:ind w:left="0"/>
      </w:pPr>
      <w:r>
        <w:t>3.3.2 Phase 2 – Automation &amp; Analytics (Weeks 5-8)</w:t>
      </w:r>
    </w:p>
    <w:p>
      <w:r>
        <w:rPr>
          <w:rFonts w:ascii="Calibri" w:hAnsi="Calibri"/>
          <w:sz w:val="24"/>
        </w:rPr>
        <w:t>In this phase, remaining devices are onboarded and automation workflows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Remaining device onboarding (150 devices) with automated discovery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policies and automation workflows (VLAN, ACL, compliance)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analytics and assurance configuration with anomaly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Predictive insights enablement for proactive failure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Dashboard and reporting configuration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Automation Playbook and Analytics Configuration Guide</w:t>
      </w:r>
    </w:p>
    <w:p>
      <w:pPr>
        <w:pStyle w:val="Heading3"/>
        <w:spacing w:before="160" w:after="120"/>
        <w:ind w:left="0"/>
      </w:pPr>
      <w:r>
        <w:t>3.3.3 Phase 3 – Advanced Features (Weeks 9-12)</w:t>
      </w:r>
    </w:p>
    <w:p>
      <w:r>
        <w:rPr>
          <w:rFonts w:ascii="Calibri" w:hAnsi="Calibri"/>
          <w:sz w:val="24"/>
        </w:rPr>
        <w:t>Implementation of advanced capabilities including application monitoring and integrations.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experience monitoring for Office 365, Webex, SAP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ServiceNow integration with automated ticket creation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NetBox IPAM integration for inventory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SD-Access fabric design and deployment for 100 devices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TrustSec micro-segmentation policies (optional)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Integration Documentation and SD-Access Design</w:t>
      </w:r>
    </w:p>
    <w:p>
      <w:pPr>
        <w:pStyle w:val="Heading3"/>
        <w:spacing w:before="160" w:after="120"/>
        <w:ind w:left="0"/>
      </w:pPr>
      <w:r>
        <w:t>3.3.4 Phase 4 – Optimization (Weeks 13-16)</w:t>
      </w:r>
    </w:p>
    <w:p>
      <w:r>
        <w:rPr>
          <w:rFonts w:ascii="Calibri" w:hAnsi="Calibri"/>
          <w:sz w:val="24"/>
        </w:rPr>
        <w:t>The solution undergoes validation, fine-tuning, and operational handoff.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Validation testing and policy fine-tuning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baseline establishment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training (32 hours) with hands-on labs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Runbooks and operational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activation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As-Built Documentation and Operational Runbooks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Assessment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Automation Playbook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 Sessions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Live/Recorded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Foundation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DNA Center deployed with 50 devices onboarded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Analytics Operational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200 devices onboarded with analytics enabled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Integrations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ServiceNow NetBox and app monitoring live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Go-Live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operational handoff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 End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period complete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Task/Role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PM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Quarterback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Network Eng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Automation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Net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Ops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SME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Discovery &amp; Requirements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DNA Center Deployment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Device Onboarding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Analytics Configuration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Setup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Roles And Responsibilities</w:t>
      </w:r>
    </w:p>
    <w:p>
      <w:r>
        <w:rPr>
          <w:rFonts w:ascii="Calibri" w:hAnsi="Calibri"/>
          <w:b/>
          <w:sz w:val="24"/>
        </w:rPr>
        <w:t>Legend:</w:t>
      </w:r>
      <w:r>
        <w:rPr>
          <w:rFonts w:ascii="Calibri" w:hAnsi="Calibri"/>
          <w:sz w:val="24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/>
      </w:pPr>
      <w:r>
        <w:t>5.2 Key Personnel</w:t>
      </w:r>
    </w:p>
    <w:p>
      <w:r>
        <w:rPr>
          <w:rFonts w:ascii="Calibri" w:hAnsi="Calibri"/>
          <w:b/>
          <w:sz w:val="24"/>
        </w:rPr>
        <w:t>Vendor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Project Manager: Overall delivery accountability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Quarterback: Technical design and architecture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Network Engineer: DNA Center deployment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Automation Engineer: Policy automation and integration</w:t>
      </w:r>
    </w:p>
    <w:p>
      <w:r>
        <w:rPr>
          <w:rFonts w:ascii="Calibri" w:hAnsi="Calibri"/>
          <w:b/>
          <w:sz w:val="24"/>
        </w:rPr>
        <w:t>Client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Lead: Primary technical contact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Lead: Day-to-day operations and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Lead: Security policy and compliance approval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SME: Application experience requirements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Architecture Overview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27118" cy="36575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7118" cy="3657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r>
        <w:rPr>
          <w:rFonts w:ascii="Calibri" w:hAnsi="Calibri"/>
          <w:b/>
          <w:sz w:val="24"/>
        </w:rPr>
        <w:t>Figure 1: DNA Center Network Analytics Architecture</w:t>
      </w:r>
      <w:r>
        <w:rPr>
          <w:rFonts w:ascii="Calibri" w:hAnsi="Calibri"/>
          <w:sz w:val="24"/>
        </w:rPr>
        <w:t xml:space="preserve"> - AI-powered network management platform</w:t>
      </w:r>
    </w:p>
    <w:p>
      <w:r>
        <w:rPr>
          <w:rFonts w:ascii="Calibri" w:hAnsi="Calibri"/>
          <w:sz w:val="24"/>
        </w:rPr>
        <w:t>The proposed architecture provides centralized network management, AI-driven analytics, and automation for 200 devices. Key components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Management Tier:</w:t>
      </w:r>
      <w:r>
        <w:rPr>
          <w:rFonts w:ascii="Calibri" w:hAnsi="Calibri"/>
          <w:sz w:val="24"/>
        </w:rPr>
        <w:t xml:space="preserve"> Cisco DNA Center appliances (primary + secondary HA)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Analytics Tier:</w:t>
      </w:r>
      <w:r>
        <w:rPr>
          <w:rFonts w:ascii="Calibri" w:hAnsi="Calibri"/>
          <w:sz w:val="24"/>
        </w:rPr>
        <w:t xml:space="preserve"> AI Network Analytics with predictive insights and anomaly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Integration Tier:</w:t>
      </w:r>
      <w:r>
        <w:rPr>
          <w:rFonts w:ascii="Calibri" w:hAnsi="Calibri"/>
          <w:sz w:val="24"/>
        </w:rPr>
        <w:t xml:space="preserve"> ServiceNow ITSM, NetBox IPAM, Active Directory identity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Infrastructure:</w:t>
      </w:r>
      <w:r>
        <w:rPr>
          <w:rFonts w:ascii="Calibri" w:hAnsi="Calibri"/>
          <w:sz w:val="24"/>
        </w:rPr>
        <w:t xml:space="preserve"> Catalyst switches, ISR routers, wireless controllers</w:t>
      </w:r>
    </w:p>
    <w:p>
      <w:pPr>
        <w:pStyle w:val="Heading2"/>
        <w:spacing w:before="240" w:after="120"/>
        <w:ind w:left="0"/>
      </w:pPr>
      <w:r>
        <w:t>6.2 Architecture Type</w:t>
      </w:r>
    </w:p>
    <w:p>
      <w:r>
        <w:rPr>
          <w:rFonts w:ascii="Calibri" w:hAnsi="Calibri"/>
          <w:sz w:val="24"/>
        </w:rPr>
        <w:t xml:space="preserve">This solution follows a </w:t>
      </w:r>
      <w:r>
        <w:rPr>
          <w:rFonts w:ascii="Calibri" w:hAnsi="Calibri"/>
          <w:b/>
          <w:sz w:val="24"/>
        </w:rPr>
        <w:t>centralized orchestration</w:t>
      </w:r>
      <w:r>
        <w:rPr>
          <w:rFonts w:ascii="Calibri" w:hAnsi="Calibri"/>
          <w:sz w:val="24"/>
        </w:rPr>
        <w:t xml:space="preserve"> architecture pattern. Key characteristics: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Scaling Approach:</w:t>
      </w:r>
      <w:r>
        <w:rPr>
          <w:rFonts w:ascii="Calibri" w:hAnsi="Calibri"/>
          <w:sz w:val="24"/>
        </w:rPr>
        <w:t xml:space="preserve"> Horizontal scaling with additional DNA Center nodes for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Model:</w:t>
      </w:r>
      <w:r>
        <w:rPr>
          <w:rFonts w:ascii="Calibri" w:hAnsi="Calibri"/>
          <w:sz w:val="24"/>
        </w:rPr>
        <w:t xml:space="preserve"> On-premises DNA Center appliances with cloud integration (Cisco Intersight)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Management Paradigm:</w:t>
      </w:r>
      <w:r>
        <w:rPr>
          <w:rFonts w:ascii="Calibri" w:hAnsi="Calibri"/>
          <w:sz w:val="24"/>
        </w:rPr>
        <w:t xml:space="preserve"> Intent-based networking with policy-driven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Communication Patterns:</w:t>
      </w:r>
      <w:r>
        <w:rPr>
          <w:rFonts w:ascii="Calibri" w:hAnsi="Calibri"/>
          <w:sz w:val="24"/>
        </w:rPr>
        <w:t xml:space="preserve"> Controller-based with NETCONF/RESTCONF to network devices</w:t>
      </w:r>
    </w:p>
    <w:p>
      <w:r>
        <w:rPr>
          <w:rFonts w:ascii="Calibri" w:hAnsi="Calibri"/>
          <w:sz w:val="24"/>
        </w:rPr>
        <w:t>The architecture is designed to support the 200-device scope with capacity to scale to 500+ devices.</w:t>
      </w:r>
    </w:p>
    <w:p>
      <w:pPr>
        <w:pStyle w:val="Heading2"/>
        <w:spacing w:before="240" w:after="120"/>
        <w:ind w:left="0"/>
      </w:pPr>
      <w:r>
        <w:t>6.3 Scope Specifications</w:t>
      </w:r>
    </w:p>
    <w:p>
      <w:r>
        <w:rPr>
          <w:rFonts w:ascii="Calibri" w:hAnsi="Calibri"/>
          <w:sz w:val="24"/>
        </w:rPr>
        <w:t xml:space="preserve">This engagement is scoped for a </w:t>
      </w:r>
      <w:r>
        <w:rPr>
          <w:rFonts w:ascii="Calibri" w:hAnsi="Calibri"/>
          <w:b/>
          <w:sz w:val="24"/>
        </w:rPr>
        <w:t>Medium (200-device)</w:t>
      </w:r>
      <w:r>
        <w:rPr>
          <w:rFonts w:ascii="Calibri" w:hAnsi="Calibri"/>
          <w:sz w:val="24"/>
        </w:rPr>
        <w:t xml:space="preserve"> deployment:</w:t>
      </w:r>
    </w:p>
    <w:p>
      <w:r>
        <w:rPr>
          <w:rFonts w:ascii="Calibri" w:hAnsi="Calibri"/>
          <w:b/>
          <w:sz w:val="24"/>
        </w:rPr>
        <w:t>DNA Center Infrastructure: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Medium (200 devices): Primary DN2-HW-APL + Secondary HA, 32 vCPU, 256 GB 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Large (500 devices): DN2-HW-APL-L with clustered nodes, 64 vCPU, 512 GB RAM</w:t>
      </w:r>
    </w:p>
    <w:p>
      <w:r>
        <w:rPr>
          <w:rFonts w:ascii="Calibri" w:hAnsi="Calibri"/>
          <w:b/>
          <w:sz w:val="24"/>
        </w:rPr>
        <w:t>Software Licensing: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Medium (200 devices): DNA Advantage + AI Analytics (200 device licenses)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Large (500 devices): DNA Premier with advanced security and analytics</w:t>
      </w:r>
    </w:p>
    <w:p>
      <w:r>
        <w:rPr>
          <w:rFonts w:ascii="Calibri" w:hAnsi="Calibri"/>
          <w:b/>
          <w:sz w:val="24"/>
        </w:rPr>
        <w:t>Network 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Medium (200 devices): Campus + branch + data center (2-3 sites)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Large (500 devices): Multi-site distributed deployment (5+ locations)</w:t>
      </w:r>
    </w:p>
    <w:p>
      <w:r>
        <w:rPr>
          <w:rFonts w:ascii="Calibri" w:hAnsi="Calibri"/>
          <w:b/>
          <w:sz w:val="24"/>
        </w:rPr>
        <w:t>Integration Complexity: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Medium (200 devices): 3 integrations (AD, ServiceNow, NetBox)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Large (500 devices): 6+ integrations including SIEM, APM, cloud orchestration</w:t>
      </w:r>
    </w:p>
    <w:p>
      <w:r>
        <w:rPr>
          <w:rFonts w:ascii="Calibri" w:hAnsi="Calibri"/>
          <w:sz w:val="24"/>
        </w:rPr>
        <w:t>Changes to scope level will require adjustment to infrastructure resources, timeline, and investment.</w:t>
      </w:r>
    </w:p>
    <w:p>
      <w:pPr>
        <w:pStyle w:val="Heading2"/>
        <w:spacing w:before="240" w:after="120"/>
        <w:ind w:left="0"/>
      </w:pPr>
      <w:r>
        <w:t>6.4 Application Hosting</w:t>
      </w:r>
    </w:p>
    <w:p>
      <w:r>
        <w:rPr>
          <w:rFonts w:ascii="Calibri" w:hAnsi="Calibri"/>
          <w:sz w:val="24"/>
        </w:rPr>
        <w:t>DNA Center appliances will be hosted in the client data center:</w:t>
      </w:r>
    </w:p>
    <w:p>
      <w:r>
        <w:rPr>
          <w:rFonts w:ascii="Calibri" w:hAnsi="Calibri"/>
          <w:b/>
          <w:sz w:val="24"/>
        </w:rPr>
        <w:t>Compute Services: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Primary DN2-HW-APL appliance (200-device capacity)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Secondary DN2-HW-APL for high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Hosted on dedicated hardware appliances (not virtualized)</w:t>
      </w:r>
    </w:p>
    <w:p>
      <w:r>
        <w:rPr>
          <w:rFonts w:ascii="Calibri" w:hAnsi="Calibri"/>
          <w:b/>
          <w:sz w:val="24"/>
        </w:rPr>
        <w:t>Deployment Approach: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Rack-mounted appliances with redundant power and network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 configuration with automatic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existing network infrastructure</w:t>
      </w:r>
    </w:p>
    <w:p>
      <w:pPr>
        <w:pStyle w:val="Heading2"/>
        <w:spacing w:before="240" w:after="120"/>
        <w:ind w:left="0"/>
      </w:pPr>
      <w:r>
        <w:t>6.5 Networking</w:t>
      </w:r>
    </w:p>
    <w:p>
      <w:r>
        <w:rPr>
          <w:rFonts w:ascii="Calibri" w:hAnsi="Calibri"/>
          <w:sz w:val="24"/>
        </w:rPr>
        <w:t>The networking architecture follows Cisco SD-Access and traditional campus best practices:</w:t>
      </w:r>
    </w:p>
    <w:p>
      <w:r>
        <w:rPr>
          <w:rFonts w:ascii="Calibri" w:hAnsi="Calibri"/>
          <w:b/>
          <w:sz w:val="24"/>
        </w:rPr>
        <w:t>Network Topology: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Campus core with distribution and access layers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offices with direct WAN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with redundant uplinks</w:t>
      </w:r>
    </w:p>
    <w:p>
      <w:r>
        <w:rPr>
          <w:rFonts w:ascii="Calibri" w:hAnsi="Calibri"/>
          <w:b/>
          <w:sz w:val="24"/>
        </w:rPr>
        <w:t>Connectivity: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DNA Center management network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NETCONF/RESTCONF to managed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SNMP, syslog, and NetFlow telemetry collection</w:t>
      </w:r>
    </w:p>
    <w:p>
      <w:r>
        <w:rPr>
          <w:rFonts w:ascii="Calibri" w:hAnsi="Calibri"/>
          <w:b/>
          <w:sz w:val="24"/>
        </w:rPr>
        <w:t>Security Controls: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802.1X authentication for user and device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TrustSec micro-segmentation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Encrypted management protocols (SSH, HTTPS)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for DNA Center</w:t>
      </w:r>
    </w:p>
    <w:p>
      <w:pPr>
        <w:pStyle w:val="Heading2"/>
        <w:spacing w:before="240" w:after="120"/>
        <w:ind w:left="0"/>
      </w:pPr>
      <w:r>
        <w:t>6.6 Observability</w:t>
      </w:r>
    </w:p>
    <w:p>
      <w:r>
        <w:rPr>
          <w:rFonts w:ascii="Calibri" w:hAnsi="Calibri"/>
          <w:sz w:val="24"/>
        </w:rPr>
        <w:t>Comprehensive observability ensures proactive network management:</w:t>
      </w:r>
    </w:p>
    <w:p>
      <w:r>
        <w:rPr>
          <w:rFonts w:ascii="Calibri" w:hAnsi="Calibri"/>
          <w:b/>
          <w:sz w:val="24"/>
        </w:rPr>
        <w:t>Logging: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syslog collection from all 200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90-day log retention for troubleshooting and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log correlation and anomaly detection</w:t>
      </w:r>
    </w:p>
    <w:p>
      <w:r>
        <w:rPr>
          <w:rFonts w:ascii="Calibri" w:hAnsi="Calibri"/>
          <w:b/>
          <w:sz w:val="24"/>
        </w:rPr>
        <w:t>Monitoring: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Real-time device health monitoring (CPU, memory, interfaces)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performance monitoring (Office 365, Webex, SAP)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path analysis and hop-by-hop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Wireless client connectivity and roaming analytics</w:t>
      </w:r>
    </w:p>
    <w:p>
      <w:r>
        <w:rPr>
          <w:rFonts w:ascii="Calibri" w:hAnsi="Calibri"/>
          <w:b/>
          <w:sz w:val="24"/>
        </w:rPr>
        <w:t>Alerting: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Predictive alerts for device failures (14-day advance warning)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threshold alerts for SLA violations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ticket creation in ServiceNow for critical issues</w:t>
      </w:r>
    </w:p>
    <w:p>
      <w:pPr>
        <w:pStyle w:val="Heading2"/>
        <w:spacing w:before="240" w:after="120"/>
        <w:ind w:left="0"/>
      </w:pPr>
      <w:r>
        <w:t>6.7 Backup &amp; Disaster Recovery</w:t>
      </w:r>
    </w:p>
    <w:p>
      <w:r>
        <w:rPr>
          <w:rFonts w:ascii="Calibri" w:hAnsi="Calibri"/>
          <w:sz w:val="24"/>
        </w:rPr>
        <w:t>All configurations and data are protected:</w:t>
      </w:r>
    </w:p>
    <w:p>
      <w:r>
        <w:rPr>
          <w:rFonts w:ascii="Calibri" w:hAnsi="Calibri"/>
          <w:b/>
          <w:sz w:val="24"/>
        </w:rPr>
        <w:t>Backup Strategy: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nightly backups of DNA Center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Device configuration backups stored in DNA Center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Cross-site replication to secondary HA node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30-day backup retention</w:t>
      </w:r>
    </w:p>
    <w:p>
      <w:r>
        <w:rPr>
          <w:rFonts w:ascii="Calibri" w:hAnsi="Calibri"/>
          <w:b/>
          <w:sz w:val="24"/>
        </w:rPr>
        <w:t>Disaster Recovery: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Recovery Time Objective (RTO): 4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Recovery Point Objective (RPO): 24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 failover for DNA Center (automatic)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Documented recovery procedures</w:t>
      </w:r>
    </w:p>
    <w:p>
      <w:pPr>
        <w:pStyle w:val="Heading2"/>
        <w:spacing w:before="240" w:after="120"/>
        <w:ind w:left="0"/>
      </w:pPr>
      <w:r>
        <w:t>6.8 Technical Implementation Strategy</w:t>
      </w:r>
    </w:p>
    <w:p>
      <w:r>
        <w:rPr>
          <w:rFonts w:ascii="Calibri" w:hAnsi="Calibri"/>
          <w:sz w:val="24"/>
        </w:rPr>
        <w:t>The deployment follows a phased approach with pilot validation:</w:t>
      </w:r>
    </w:p>
    <w:p>
      <w:r>
        <w:rPr>
          <w:rFonts w:ascii="Calibri" w:hAnsi="Calibri"/>
          <w:b/>
          <w:sz w:val="24"/>
        </w:rPr>
        <w:t>Migration Patterns: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with 50 devices to validate automation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Incremental onboarding in waves (50 → 100 → 200 devices)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enforcement phased rollout (monitor → enforce)</w:t>
      </w:r>
    </w:p>
    <w:p>
      <w:r>
        <w:rPr>
          <w:rFonts w:ascii="Calibri" w:hAnsi="Calibri"/>
          <w:b/>
          <w:sz w:val="24"/>
        </w:rPr>
        <w:t>Infrastructure as Code: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DNA Center templates for device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as code for automation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Version control for templates and policies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for DNA Center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 integration with LDAP for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for privileged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for all administrative actions</w:t>
      </w:r>
    </w:p>
    <w:p>
      <w:pPr>
        <w:pStyle w:val="Heading2"/>
        <w:spacing w:before="240" w:after="120"/>
        <w:ind w:left="0"/>
      </w:pPr>
      <w:r>
        <w:t>7.2 Monitoring &amp;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Real-time security monitoring through DNA Center assurance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Encrypted management protocols (SSH, HTTPS, NETCONF/TLS)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Anomaly detection for unusual device or network behavior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SIEM for security analytics (optional)</w:t>
      </w:r>
    </w:p>
    <w:p>
      <w:pPr>
        <w:pStyle w:val="Heading2"/>
        <w:spacing w:before="240" w:after="120"/>
        <w:ind w:left="0"/>
      </w:pPr>
      <w:r>
        <w:t>7.3 Compliance &amp; Auditing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compliance validation against baselines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drift detection and remediation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trails for all configuration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reporting for PCI DSS or HIPAA requirements</w:t>
      </w:r>
    </w:p>
    <w:p>
      <w:r>
        <w:rPr>
          <w:rFonts w:ascii="Calibri" w:hAnsi="Calibri"/>
          <w:b/>
          <w:sz w:val="24"/>
        </w:rPr>
        <w:t>Audit Capabilities: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tracking with who/what/when/why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compliance scoring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posture dashboards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compliance remediation</w:t>
      </w:r>
    </w:p>
    <w:p>
      <w:pPr>
        <w:pStyle w:val="Heading2"/>
        <w:spacing w:before="240" w:after="120"/>
        <w:ind w:left="0"/>
      </w:pPr>
      <w:r>
        <w:t>7.4 Encryption &amp; Key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TLS 1.2+ for all DNA Center communications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for device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802.1X with EAP-TLS for network access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Certificate management for device authentication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Functional Validation</w:t>
      </w:r>
    </w:p>
    <w:p>
      <w:r>
        <w:rPr>
          <w:rFonts w:ascii="Calibri" w:hAnsi="Calibri"/>
          <w:sz w:val="24"/>
        </w:rPr>
        <w:t>Comprehensive testing ensures all features work as designed:</w:t>
      </w:r>
    </w:p>
    <w:p>
      <w:r>
        <w:rPr>
          <w:rFonts w:ascii="Calibri" w:hAnsi="Calibri"/>
          <w:b/>
          <w:sz w:val="24"/>
        </w:rPr>
        <w:t>End-to-End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Device discovery and onboarding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Zero-touch provisioning for new switches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automation and template application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analytics and predictive insights validation</w:t>
      </w:r>
    </w:p>
    <w:p>
      <w:r>
        <w:rPr>
          <w:rFonts w:ascii="Calibri" w:hAnsi="Calibri"/>
          <w:b/>
          <w:sz w:val="24"/>
        </w:rPr>
        <w:t>Integration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ServiceNow ticket creation and closure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NetBox inventory synchronization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experience data collection</w:t>
      </w:r>
    </w:p>
    <w:p>
      <w:pPr>
        <w:pStyle w:val="Heading2"/>
        <w:spacing w:before="240" w:after="120"/>
        <w:ind w:left="0"/>
      </w:pPr>
      <w:r>
        <w:t>8.2 Performance &amp; Load Testing</w:t>
      </w:r>
    </w:p>
    <w:p>
      <w:r>
        <w:rPr>
          <w:rFonts w:ascii="Calibri" w:hAnsi="Calibri"/>
          <w:sz w:val="24"/>
        </w:rPr>
        <w:t>Performance validation ensures the solution meets requirements:</w:t>
      </w:r>
    </w:p>
    <w:p>
      <w:r>
        <w:rPr>
          <w:rFonts w:ascii="Calibri" w:hAnsi="Calibri"/>
          <w:b/>
          <w:sz w:val="24"/>
        </w:rPr>
        <w:t>Load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200-device telemetry ingestion and 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Dashboard and reporting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Concurrent administrator access (10 users)</w:t>
      </w:r>
    </w:p>
    <w:p>
      <w:r>
        <w:rPr>
          <w:rFonts w:ascii="Calibri" w:hAnsi="Calibri"/>
          <w:b/>
          <w:sz w:val="24"/>
        </w:rPr>
        <w:t>Benchmarking: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Telemetry latency (target: &lt; 5 minutes)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Dashboard response time (target: &lt; 3 seconds)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deployment time (target: &lt; 5 minutes for 200 devices)</w:t>
      </w:r>
    </w:p>
    <w:p>
      <w:pPr>
        <w:pStyle w:val="Heading2"/>
        <w:spacing w:before="240" w:after="120"/>
        <w:ind w:left="0"/>
      </w:pPr>
      <w:r>
        <w:t>8.3 Security Testing</w:t>
      </w:r>
    </w:p>
    <w:p>
      <w:r>
        <w:rPr>
          <w:rFonts w:ascii="Calibri" w:hAnsi="Calibri"/>
          <w:sz w:val="24"/>
        </w:rPr>
        <w:t>Security validation to ensure compliance:</w:t>
      </w:r>
    </w:p>
    <w:p>
      <w:r>
        <w:rPr>
          <w:rFonts w:ascii="Calibri" w:hAnsi="Calibri"/>
          <w:b/>
          <w:sz w:val="24"/>
        </w:rPr>
        <w:t>Vulnerability Assessment: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DNA Center appliance security hardening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Encrypted communication verification</w:t>
      </w:r>
    </w:p>
    <w:p>
      <w:r>
        <w:rPr>
          <w:rFonts w:ascii="Calibri" w:hAnsi="Calibri"/>
          <w:b/>
          <w:sz w:val="24"/>
        </w:rPr>
        <w:t>Compliance Validation: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compliance against organizational standards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completeness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 verification</w:t>
      </w:r>
    </w:p>
    <w:p>
      <w:pPr>
        <w:pStyle w:val="Heading2"/>
        <w:spacing w:before="240" w:after="120"/>
        <w:ind w:left="0"/>
      </w:pPr>
      <w:r>
        <w:t>8.4 User Acceptance Testing (UAT)</w:t>
      </w:r>
    </w:p>
    <w:p>
      <w:r>
        <w:rPr>
          <w:rFonts w:ascii="Calibri" w:hAnsi="Calibri"/>
          <w:sz w:val="24"/>
        </w:rPr>
        <w:t>UAT is performed in coordination with Client network team:</w:t>
      </w:r>
    </w:p>
    <w:p>
      <w:r>
        <w:rPr>
          <w:rFonts w:ascii="Calibri" w:hAnsi="Calibri"/>
          <w:b/>
          <w:sz w:val="24"/>
        </w:rPr>
        <w:t>UAT Approach: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environment for hands-on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workflow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Dashboard and reporting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during UAT</w:t>
      </w:r>
    </w:p>
    <w:p>
      <w:r>
        <w:rPr>
          <w:rFonts w:ascii="Calibri" w:hAnsi="Calibri"/>
          <w:b/>
          <w:sz w:val="24"/>
        </w:rPr>
        <w:t>Acceptance Criteria: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devices successfully onboarded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Analytics and assurance operational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Integrations functional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trained and confident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Handover Artifacts</w:t>
      </w:r>
    </w:p>
    <w:p>
      <w:r>
        <w:rPr>
          <w:rFonts w:ascii="Calibri" w:hAnsi="Calibri"/>
          <w:sz w:val="24"/>
        </w:rPr>
        <w:t>Upon successful implementation, the following artifacts will be delivered:</w:t>
      </w:r>
    </w:p>
    <w:p>
      <w:r>
        <w:rPr>
          <w:rFonts w:ascii="Calibri" w:hAnsi="Calibri"/>
          <w:b/>
          <w:sz w:val="24"/>
        </w:rPr>
        <w:t>Documentation Deliverables: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diagrams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DNA Center configuration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templates and automation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configuration guides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topology and device inventory</w:t>
      </w:r>
    </w:p>
    <w:p>
      <w:r>
        <w:rPr>
          <w:rFonts w:ascii="Calibri" w:hAnsi="Calibri"/>
          <w:b/>
          <w:sz w:val="24"/>
        </w:rPr>
        <w:t>Operational Deliverables: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runbooks and SOPs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alerting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and incident response playbooks</w:t>
      </w:r>
    </w:p>
    <w:p>
      <w:r>
        <w:rPr>
          <w:rFonts w:ascii="Calibri" w:hAnsi="Calibri"/>
          <w:b/>
          <w:sz w:val="24"/>
        </w:rPr>
        <w:t>Knowledge Assets: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Recorded training sessions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DNA Center administrator credentials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API keys and credentials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support contacts</w:t>
      </w:r>
    </w:p>
    <w:p>
      <w:pPr>
        <w:pStyle w:val="Heading2"/>
        <w:spacing w:before="240" w:after="120"/>
        <w:ind w:left="0"/>
      </w:pPr>
      <w:r>
        <w:t>9.2 Knowledge Transfer</w:t>
      </w:r>
    </w:p>
    <w:p>
      <w:r>
        <w:rPr>
          <w:rFonts w:ascii="Calibri" w:hAnsi="Calibri"/>
          <w:sz w:val="24"/>
        </w:rPr>
        <w:t>Knowledge transfer ensures the Client team can operate DNA Center:</w:t>
      </w:r>
    </w:p>
    <w:p>
      <w:r>
        <w:rPr>
          <w:rFonts w:ascii="Calibri" w:hAnsi="Calibri"/>
          <w:b/>
          <w:sz w:val="24"/>
        </w:rPr>
        <w:t>Training Sessions: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32 hours of hands-on training (live and recorded)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DNA Center operations and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automation and template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and incident response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experience analytics</w:t>
      </w:r>
    </w:p>
    <w:p>
      <w:r>
        <w:rPr>
          <w:rFonts w:ascii="Calibri" w:hAnsi="Calibri"/>
          <w:b/>
          <w:sz w:val="24"/>
        </w:rPr>
        <w:t>Documentation Package: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runbooks and SOPs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and optimization guide</w:t>
      </w:r>
    </w:p>
    <w:p>
      <w:pPr>
        <w:pStyle w:val="Heading2"/>
        <w:spacing w:before="240" w:after="120"/>
        <w:ind w:left="0"/>
      </w:pPr>
      <w:r>
        <w:t>9.3 Hypercare Support</w:t>
      </w:r>
    </w:p>
    <w:p>
      <w:r>
        <w:rPr>
          <w:rFonts w:ascii="Calibri" w:hAnsi="Calibri"/>
          <w:sz w:val="24"/>
        </w:rPr>
        <w:t>Post-implementation support for smooth transition:</w:t>
      </w:r>
    </w:p>
    <w:p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4 weeks post-go-live</w:t>
      </w:r>
    </w:p>
    <w:p>
      <w:r>
        <w:rPr>
          <w:rFonts w:ascii="Calibri" w:hAnsi="Calibri"/>
          <w:b/>
          <w:sz w:val="24"/>
        </w:rPr>
        <w:t>Coverage: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Business hours support (8 AM - 6 PM local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response time for 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health check calls (first 2 weeks)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Weekly status meetings</w:t>
      </w:r>
    </w:p>
    <w:p>
      <w:r>
        <w:rPr>
          <w:rFonts w:ascii="Calibri" w:hAnsi="Calibri"/>
          <w:b/>
          <w:sz w:val="24"/>
        </w:rPr>
        <w:t>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investigation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tuning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adjustments and fine-tuning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continuation</w:t>
      </w:r>
    </w:p>
    <w:p>
      <w:pPr>
        <w:pStyle w:val="Heading2"/>
        <w:spacing w:before="240" w:after="120"/>
        <w:ind w:left="0"/>
      </w:pPr>
      <w:r>
        <w:t>9.4 Assumptions</w:t>
      </w:r>
    </w:p>
    <w:p>
      <w:pPr>
        <w:pStyle w:val="Heading3"/>
        <w:spacing w:before="160" w:after="120"/>
        <w:ind w:left="0"/>
      </w:pPr>
      <w:r>
        <w:t>9.4.1 General Assumptions</w:t>
      </w:r>
    </w:p>
    <w:p>
      <w:r>
        <w:rPr>
          <w:rFonts w:ascii="Calibri" w:hAnsi="Calibri"/>
          <w:sz w:val="24"/>
        </w:rPr>
        <w:t>This engagement is based on the following assumptions:</w:t>
      </w:r>
    </w:p>
    <w:p>
      <w:r>
        <w:rPr>
          <w:rFonts w:ascii="Calibri" w:hAnsi="Calibri"/>
          <w:b/>
          <w:sz w:val="24"/>
        </w:rPr>
        <w:t>Client Responsibilities: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provide timely access to network devices and DNA Center appliances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team will be available for requirements validation and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provide Active Directory, ServiceNow, and NetBox integration credentials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handle internal change management and stakeholder communication</w:t>
      </w:r>
    </w:p>
    <w:p>
      <w:r>
        <w:rPr>
          <w:rFonts w:ascii="Calibri" w:hAnsi="Calibri"/>
          <w:b/>
          <w:sz w:val="24"/>
        </w:rPr>
        <w:t>Technical Environment: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devices are IOS-XE 16.12+ or NX-OS compatible with DNA Center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connectivity and bandwidth sufficient for telemetry collection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rack space, power, and network available for DNA Center appliances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Directory, ServiceNow, and NetBox systems are operational</w:t>
      </w:r>
    </w:p>
    <w:p>
      <w:r>
        <w:rPr>
          <w:rFonts w:ascii="Calibri" w:hAnsi="Calibri"/>
          <w:b/>
          <w:sz w:val="24"/>
        </w:rPr>
        <w:t>Project Execution: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scope and requirements will remain stable during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Resources (both Vendor and Client) will be available per project plan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major network changes during pilot and deployment phases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and compliance approvals will not delay critical path activities</w:t>
      </w:r>
    </w:p>
    <w:p>
      <w:pPr>
        <w:pStyle w:val="Heading2"/>
        <w:spacing w:before="240" w:after="120"/>
        <w:ind w:left="0"/>
      </w:pPr>
      <w:r>
        <w:t>9.5 Dependencies</w:t>
      </w:r>
    </w:p>
    <w:p>
      <w:pPr>
        <w:pStyle w:val="Heading3"/>
        <w:spacing w:before="160" w:after="120"/>
        <w:ind w:left="0"/>
      </w:pPr>
      <w:r>
        <w:t>9.5.1 Project Dependencies</w:t>
      </w:r>
    </w:p>
    <w:p>
      <w:r>
        <w:rPr>
          <w:rFonts w:ascii="Calibri" w:hAnsi="Calibri"/>
          <w:sz w:val="24"/>
        </w:rPr>
        <w:t>Critical dependencies for successful project execution:</w:t>
      </w:r>
    </w:p>
    <w:p>
      <w:r>
        <w:rPr>
          <w:rFonts w:ascii="Calibri" w:hAnsi="Calibri"/>
          <w:b/>
          <w:sz w:val="24"/>
        </w:rPr>
        <w:t>Access &amp; Infrastructure: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rack space and power for DNA Center appliances (Week 1)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management connectivity to all 200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DNS and NTP services for DNA Center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SMTP for email notifications</w:t>
      </w:r>
    </w:p>
    <w:p>
      <w:r>
        <w:rPr>
          <w:rFonts w:ascii="Calibri" w:hAnsi="Calibri"/>
          <w:b/>
          <w:sz w:val="24"/>
        </w:rPr>
        <w:t>Data &amp; Integration: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 LDAP integration credentials (Week 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ServiceNow API credentials and ITSM instance access (Week 6)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NetBox API credentials and IPAM data (Week 6)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monitoring requirements documented (Week 6)</w:t>
      </w:r>
    </w:p>
    <w:p>
      <w:r>
        <w:rPr>
          <w:rFonts w:ascii="Calibri" w:hAnsi="Calibri"/>
          <w:b/>
          <w:sz w:val="24"/>
        </w:rPr>
        <w:t>Resources &amp; Expertise: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team available for device onboarding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team available for policy approval and compliance sign-off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 available for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SMEs for performance monitoring requirements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p>
      <w:r>
        <w:rPr>
          <w:rFonts w:ascii="Calibri" w:hAnsi="Calibri"/>
          <w:sz w:val="24"/>
        </w:rPr>
        <w:t>This section provides a comprehensive overview of the total investment required for this engagement.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$85,100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$85,100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$85,100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$120,000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$120,000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$120,000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$110,000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($20,000)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$90,000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$110,000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$110,000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$310,000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$18,000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$54,000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$333,100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($20,000)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$313,100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$128,000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$128,000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$569,100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2"/>
        <w:spacing w:before="240" w:after="120"/>
        <w:ind w:left="0"/>
      </w:pPr>
      <w:r>
        <w:t>10.2 Partner Credits</w:t>
      </w:r>
    </w:p>
    <w:p>
      <w:r>
        <w:rPr>
          <w:rFonts w:ascii="Calibri" w:hAnsi="Calibri"/>
          <w:b/>
          <w:sz w:val="24"/>
        </w:rPr>
        <w:t>Year 1 Credits Applied:</w:t>
      </w:r>
      <w:r>
        <w:rPr>
          <w:rFonts w:ascii="Calibri" w:hAnsi="Calibri"/>
          <w:sz w:val="24"/>
        </w:rPr>
        <w:t xml:space="preserve"> $20,000 (DNA license promotion)</w:t>
      </w:r>
    </w:p>
    <w:p>
      <w:r>
        <w:rPr>
          <w:rFonts w:ascii="Calibri" w:hAnsi="Calibri"/>
          <w:b/>
          <w:sz w:val="24"/>
        </w:rPr>
        <w:t>Annual Recurring Cost:</w:t>
      </w:r>
      <w:r>
        <w:rPr>
          <w:rFonts w:ascii="Calibri" w:hAnsi="Calibri"/>
          <w:sz w:val="24"/>
        </w:rPr>
        <w:t xml:space="preserve"> $128,000/year (software licenses and support)</w:t>
      </w:r>
    </w:p>
    <w:p>
      <w:pPr>
        <w:pStyle w:val="Heading2"/>
        <w:spacing w:before="240" w:after="120"/>
        <w:ind w:left="0"/>
      </w:pPr>
      <w:r>
        <w:t>10.3 Payment Terms</w:t>
      </w:r>
    </w:p>
    <w:p>
      <w:r>
        <w:rPr>
          <w:rFonts w:ascii="Calibri" w:hAnsi="Calibri"/>
          <w:b/>
          <w:sz w:val="24"/>
        </w:rPr>
        <w:t>Pricing Model:</w:t>
      </w:r>
      <w:r>
        <w:rPr>
          <w:rFonts w:ascii="Calibri" w:hAnsi="Calibri"/>
          <w:sz w:val="24"/>
        </w:rPr>
        <w:t xml:space="preserve"> Fixed price with milestone-based payments</w:t>
      </w:r>
    </w:p>
    <w:p>
      <w:r>
        <w:rPr>
          <w:rFonts w:ascii="Calibri" w:hAnsi="Calibri"/>
          <w:b/>
          <w:sz w:val="24"/>
        </w:rPr>
        <w:t>Payment Schedule: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SOW execution and project kickoff ($93,930)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completion of Phase 2 - Analytics Operational ($93,930)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completion of Phase 3 - Integrations Complete ($78,275)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15% upon successful go-live and project acceptance ($46,965)</w:t>
      </w:r>
    </w:p>
    <w:p>
      <w:r>
        <w:rPr>
          <w:rFonts w:ascii="Calibri" w:hAnsi="Calibri"/>
          <w:b/>
          <w:sz w:val="24"/>
        </w:rPr>
        <w:t>Invoicing:</w:t>
      </w:r>
      <w:r>
        <w:rPr>
          <w:rFonts w:ascii="Calibri" w:hAnsi="Calibri"/>
          <w:sz w:val="24"/>
        </w:rPr>
        <w:t xml:space="preserve"> Monthly invoicing based on milestones completed. Net 30 payment terms.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General Terms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/>
      </w:pPr>
      <w:r>
        <w:t>11.2 Scope Changes</w:t>
      </w:r>
    </w:p>
    <w:p>
      <w:r>
        <w:rPr>
          <w:rFonts w:ascii="Calibri" w:hAnsi="Calibri"/>
          <w:sz w:val="24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/>
      </w:pPr>
      <w:r>
        <w:t>11.3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all deliverables, configurations, and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proprietary methodologies, tools, and accelerators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Pre-existing IP remains with original owner</w:t>
      </w:r>
    </w:p>
    <w:p>
      <w:pPr>
        <w:pStyle w:val="Heading2"/>
        <w:spacing w:before="240" w:after="120"/>
        <w:ind w:left="0"/>
      </w:pPr>
      <w:r>
        <w:t>11.4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exchanged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data handled per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disclosure to third parties without consent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Cisco Systems - Cisco DNA Center Network Analytics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