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3: Garch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2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GARCH volatility modeling. GARCH captures time-varying conditional variance; spikes in volatility may relate to events.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simulate a series with changing variance, configure a GARCH-based detector, detect volatility events, and visualize.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Prepare a synthetic series, fit a GARCH detector, detect variance spikes, and plot.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helpers and packages.</w:t>
      </w:r>
    </w:p>
    <w:bookmarkStart w:id="20" w:name="data-and-prep"/>
    <w:p>
      <w:pPr>
        <w:pStyle w:val="Heading3"/>
      </w:pPr>
      <w:r>
        <w:t xml:space="preserve">Data and Prep</w:t>
      </w:r>
    </w:p>
    <w:p>
      <w:pPr>
        <w:pStyle w:val="FirstParagraph"/>
      </w:pPr>
      <w:r>
        <w:t xml:space="preserve">Create a synthetic series with higher-variance middle segment.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time points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pi),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n)</w:t>
      </w:r>
    </w:p>
    <w:bookmarkEnd w:id="20"/>
    <w:bookmarkStart w:id="21" w:name="model-configuration"/>
    <w:p>
      <w:pPr>
        <w:pStyle w:val="Heading3"/>
      </w:pPr>
      <w:r>
        <w:t xml:space="preserve">Model Configuration</w:t>
      </w:r>
    </w:p>
    <w:p>
      <w:pPr>
        <w:pStyle w:val="FirstParagraph"/>
      </w:pP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hanr_garch</w:t>
      </w:r>
      <w:r>
        <w:rPr>
          <w:rStyle w:val="NormalTok"/>
        </w:rPr>
        <w:t xml:space="preserve">()</w:t>
      </w:r>
    </w:p>
    <w:bookmarkEnd w:id="21"/>
    <w:bookmarkStart w:id="22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data)</w:t>
      </w:r>
    </w:p>
    <w:bookmarkEnd w:id="22"/>
    <w:bookmarkStart w:id="23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data)</w:t>
      </w:r>
    </w:p>
    <w:bookmarkEnd w:id="23"/>
    <w:bookmarkStart w:id="24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81  TRUE anomaly</w:t>
      </w:r>
      <w:r>
        <w:br/>
      </w:r>
      <w:r>
        <w:rPr>
          <w:rStyle w:val="VerbatimChar"/>
        </w:rPr>
        <w:t xml:space="preserve">## 2  83  TRUE anomaly</w:t>
      </w:r>
      <w:r>
        <w:br/>
      </w:r>
      <w:r>
        <w:rPr>
          <w:rStyle w:val="VerbatimChar"/>
        </w:rPr>
        <w:t xml:space="preserve">## 3  90  TRUE anomaly</w:t>
      </w:r>
      <w:r>
        <w:br/>
      </w:r>
      <w:r>
        <w:rPr>
          <w:rStyle w:val="VerbatimChar"/>
        </w:rPr>
        <w:t xml:space="preserve">## 4  92  TRUE anomaly</w:t>
      </w:r>
      <w:r>
        <w:br/>
      </w:r>
      <w:r>
        <w:rPr>
          <w:rStyle w:val="VerbatimChar"/>
        </w:rPr>
        <w:t xml:space="preserve">## 5  99  TRUE anomaly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[1] 5</w:t>
      </w:r>
    </w:p>
    <w:bookmarkEnd w:id="24"/>
    <w:bookmarkStart w:id="25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data, detection)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5"/>
    <w:bookmarkStart w:id="26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</w:p>
    <w:bookmarkEnd w:id="26"/>
    <w:bookmarkStart w:id="31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"figures/chap3_garch.png", 1280, 720)</w:t>
      </w:r>
      <w:r>
        <w:br/>
      </w:r>
      <w:r>
        <w:rPr>
          <w:rStyle w:val="NormalTok"/>
        </w:rPr>
        <w:t xml:space="preserve">grf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TSED/examples/chapter3/doc/chap3_garch_files/figure-docx/viz_save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Bollerslev, T. (1986). Generalized autoregressive conditional heteroskedasticity.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hyperlink" Id="rId3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3: Garch</dc:title>
  <dc:creator/>
  <cp:keywords/>
  <dcterms:created xsi:type="dcterms:W3CDTF">2025-11-06T12:54:10Z</dcterms:created>
  <dcterms:modified xsi:type="dcterms:W3CDTF">2025-11-06T12:54:10Z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