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Svm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3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uses Support Vector Machines (SVM) to classify windowed time-series features, where the margin separates normal from anomalous behavior.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load a labeled dataset, configure an SVM classifier, fit on the train split, detect over the full series, and visualize results.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Prepare the environment, train an SVM classifier, detect, and plot detections.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bookmarkStart w:id="23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Load labeled anomalies and create a train/test split.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"examples_anomalies"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tt_warped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svm_files/figure-docx/data_loading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]</w:t>
      </w:r>
    </w:p>
    <w:bookmarkEnd w:id="23"/>
    <w:bookmarkStart w:id="24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train; dataset_n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</w:p>
    <w:bookmarkEnd w:id="24"/>
    <w:bookmarkStart w:id="25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dataset_n)</w:t>
      </w:r>
    </w:p>
    <w:bookmarkEnd w:id="25"/>
    <w:bookmarkStart w:id="26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(dataset_n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bookmarkEnd w:id="26"/>
    <w:bookmarkStart w:id="27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7"/>
    <w:bookmarkStart w:id="32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"figures/chap3_svm.png",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svm_files/figure-docx/viz_sav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Cortes, C., &amp; Vapnik, V. (1995). Support-vector networks.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1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hyperlink" Id="rId3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Svm</dc:title>
  <dc:creator/>
  <cp:keywords/>
  <dcterms:created xsi:type="dcterms:W3CDTF">2025-11-06T12:54:58Z</dcterms:created>
  <dcterms:modified xsi:type="dcterms:W3CDTF">2025-11-06T12:54:58Z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