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4: Adwin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30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example focuses on Event detection in time series. This example follows a general event-detection workflow: data preparation, model configuration, fitting, detection, optional evaluation, and visualization.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demonstrate a complete, reproducible workflow: setting up libraries, loading data, configuring a detector, fitting it, running detection, optionally evaluating, and visualizing the results.</w:t>
      </w:r>
      <w:r>
        <w:t xml:space="preserve"> </w:t>
      </w:r>
      <w:r>
        <w:t xml:space="preserve">### Setup and Libraries</w:t>
      </w:r>
      <w:r>
        <w:t xml:space="preserve"> </w:t>
      </w:r>
      <w:r>
        <w:t xml:space="preserve">Load helpers and required packages.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20" w:name="data"/>
    <w:p>
      <w:pPr>
        <w:pStyle w:val="Heading3"/>
      </w:pPr>
      <w:r>
        <w:t xml:space="preserve">Data</w:t>
      </w:r>
    </w:p>
    <w:p>
      <w:pPr>
        <w:pStyle w:val="FirstParagraph"/>
      </w:pPr>
      <w:r>
        <w:t xml:space="preserve">Load the example and build a simple drift stream.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bookmarkEnd w:id="20"/>
    <w:bookmarkStart w:id="21" w:name="other-steps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dfr_adwin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serie)) {</w:t>
      </w:r>
      <w:r>
        <w:br/>
      </w:r>
      <w:r>
        <w:rPr>
          <w:rStyle w:val="NormalTok"/>
        </w:rPr>
        <w:t xml:space="preserve">  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(state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'changepoint'</w:t>
      </w:r>
      <w:r>
        <w:br/>
      </w:r>
      <w:r>
        <w:rPr>
          <w:rStyle w:val="NormalTok"/>
        </w:rPr>
        <w:t xml:space="preserve">    state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(state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type))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(detection)</w:t>
      </w:r>
    </w:p>
    <w:bookmarkEnd w:id="21"/>
    <w:bookmarkStart w:id="29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/Git/eogasawara/TSED/examples/chapter4/doc/chap4_adwin_files/figure-docx/plot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Other Steps</w:t>
      </w:r>
      <w:r>
        <w:t xml:space="preserve"> </w:t>
      </w:r>
      <w:r>
        <w:t xml:space="preserve">Additional supporting steps that glue the workflow.</w:t>
      </w:r>
      <w:r>
        <w:t xml:space="preserve"> </w:t>
      </w:r>
      <w:r>
        <w:t xml:space="preserve">### Visualization and Output</w:t>
      </w:r>
      <w:r>
        <w:t xml:space="preserve"> </w:t>
      </w: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CommentTok"/>
        </w:rPr>
        <w:t xml:space="preserve">#save_png(grf, "figures/chap4_adwin.png", 1280, 720)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C:/Git/eogasawara/TSED/examples/chapter4/doc/chap4_adwin_files/figure-docx/unnamed-chunk-1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References</w:t>
      </w:r>
      <w:r>
        <w:t xml:space="preserve"> </w:t>
      </w:r>
      <w:r>
        <w:t xml:space="preserve">* General: Box, G. E. P. &amp; Jenkins, G. (1970). Time Series Analysis.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28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hyperlink" Id="rId2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4: Adwin</dc:title>
  <dc:creator/>
  <cp:keywords/>
  <dcterms:created xsi:type="dcterms:W3CDTF">2025-11-06T12:55:11Z</dcterms:created>
  <dcterms:modified xsi:type="dcterms:W3CDTF">2025-11-06T12:55:11Z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