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Model Management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Model management breaks a long series into regimes where different models apply. Vertical lines M[0]..M[3] illustrate regime boundaries and a candidate unknown model region (?M) to be identified.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0" w:name="synthetic-data"/>
    <w:p>
      <w:pPr>
        <w:pStyle w:val="Heading3"/>
      </w:pPr>
      <w:r>
        <w:t xml:space="preserve">Synthetic Data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4.7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y4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y1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(y1, y2, y3, y4)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y)</w:t>
      </w:r>
    </w:p>
    <w:bookmarkEnd w:id="20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Draw the synthetic series and mark hypothetical model regimes;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"M[0]"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"M[1]"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4.7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"M[2]"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"M[3]"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10.9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"?M"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#save_png(grf, "figures/chap4_model_management.png",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odel_management_files/figure-docx/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Model Management</dc:title>
  <dc:creator/>
  <cp:keywords/>
  <dcterms:created xsi:type="dcterms:W3CDTF">2025-11-06T12:57:33Z</dcterms:created>
  <dcterms:modified xsi:type="dcterms:W3CDTF">2025-11-06T12:57:33Z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