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hapter-guide-with-links"/>
    <w:p>
      <w:pPr>
        <w:pStyle w:val="Heading2"/>
      </w:pPr>
      <w:r>
        <w:t xml:space="preserve">Chapter Guide (with links)</w:t>
      </w:r>
    </w:p>
    <w:p>
      <w:pPr>
        <w:pStyle w:val="Compact"/>
        <w:numPr>
          <w:ilvl w:val="0"/>
          <w:numId w:val="1001"/>
        </w:numPr>
      </w:pPr>
      <w:r>
        <w:t xml:space="preserve">Chapter 1 — Getting Started and Basics (</w:t>
      </w:r>
      <w:hyperlink r:id="rId20">
        <w:r>
          <w:rPr>
            <w:rStyle w:val="VerbatimChar"/>
          </w:rPr>
          <w:t xml:space="preserve">examples/chapter1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First end‑to‑end event detection workflow with Harbinger (load data, fit, detect, visualize) and simple motif examples.</w:t>
      </w:r>
    </w:p>
    <w:p>
      <w:pPr>
        <w:pStyle w:val="Compact"/>
        <w:numPr>
          <w:ilvl w:val="0"/>
          <w:numId w:val="1001"/>
        </w:numPr>
      </w:pPr>
      <w:r>
        <w:t xml:space="preserve">Chapter 2 — Representation, Preprocessing and Prediction (</w:t>
      </w:r>
      <w:hyperlink r:id="rId21">
        <w:r>
          <w:rPr>
            <w:rStyle w:val="VerbatimChar"/>
          </w:rPr>
          <w:t xml:space="preserve">examples/chapter2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Stationarity, trends, normalization; Fourier/Wavelet/EMD decompositions; ACF/ARIMA; PAA+SAX; introductory LSTM examples for sequence modeling.</w:t>
      </w:r>
    </w:p>
    <w:p>
      <w:pPr>
        <w:pStyle w:val="Compact"/>
        <w:numPr>
          <w:ilvl w:val="0"/>
          <w:numId w:val="1001"/>
        </w:numPr>
      </w:pPr>
      <w:r>
        <w:t xml:space="preserve">Chapter 3 — Detectors and Models (</w:t>
      </w:r>
      <w:hyperlink r:id="rId22">
        <w:r>
          <w:rPr>
            <w:rStyle w:val="VerbatimChar"/>
          </w:rPr>
          <w:t xml:space="preserve">examples/chapter3</w:t>
        </w:r>
      </w:hyperlink>
      <w:r>
        <w:t xml:space="preserve">)</w:t>
      </w:r>
    </w:p>
    <w:p>
      <w:pPr>
        <w:pStyle w:val="Compact"/>
        <w:numPr>
          <w:ilvl w:val="1"/>
          <w:numId w:val="1004"/>
        </w:numPr>
      </w:pPr>
      <w:r>
        <w:t xml:space="preserve">Classical and ML detectors: ARIMA residuals, GARCH, histogram/k‑means, SVM, autoencoders, and multivariate cases.</w:t>
      </w:r>
    </w:p>
    <w:p>
      <w:pPr>
        <w:pStyle w:val="Compact"/>
        <w:numPr>
          <w:ilvl w:val="0"/>
          <w:numId w:val="1001"/>
        </w:numPr>
      </w:pPr>
      <w:r>
        <w:t xml:space="preserve">Chapter 4 — Change Detection (</w:t>
      </w:r>
      <w:hyperlink r:id="rId23">
        <w:r>
          <w:rPr>
            <w:rStyle w:val="VerbatimChar"/>
          </w:rPr>
          <w:t xml:space="preserve">examples/chapter4</w:t>
        </w:r>
      </w:hyperlink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Change points and concept drift: CUSUM, Page‑Hinkley, AMOC/PELT/BinSeg, Chow test, ADWIN/KSWIN/HDDM/EDDM, PCA/autoencoder monitoring, and model management.</w:t>
      </w:r>
    </w:p>
    <w:p>
      <w:pPr>
        <w:pStyle w:val="Compact"/>
        <w:numPr>
          <w:ilvl w:val="0"/>
          <w:numId w:val="1001"/>
        </w:numPr>
      </w:pPr>
      <w:r>
        <w:t xml:space="preserve">Chapter 5 — Motifs and Discords (</w:t>
      </w:r>
      <w:hyperlink r:id="rId24">
        <w:r>
          <w:rPr>
            <w:rStyle w:val="VerbatimChar"/>
          </w:rPr>
          <w:t xml:space="preserve">examples/chapter5</w:t>
        </w:r>
      </w:hyperlink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Matrix Profile for motifs/discords, PAA+SAX pipelines, DTW comparisons, and preprocessing tips.</w:t>
      </w:r>
    </w:p>
    <w:p>
      <w:pPr>
        <w:pStyle w:val="Compact"/>
        <w:numPr>
          <w:ilvl w:val="0"/>
          <w:numId w:val="1001"/>
        </w:numPr>
      </w:pPr>
      <w:r>
        <w:t xml:space="preserve">Chapter 6 — Online Detection (</w:t>
      </w:r>
      <w:hyperlink r:id="rId25">
        <w:r>
          <w:rPr>
            <w:rStyle w:val="VerbatimChar"/>
          </w:rPr>
          <w:t xml:space="preserve">examples/chapter6</w:t>
        </w:r>
      </w:hyperlink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Streaming/online updates with frame‑by‑frame visualizations and animated outputs.</w:t>
      </w:r>
    </w:p>
    <w:p>
      <w:pPr>
        <w:pStyle w:val="Compact"/>
        <w:numPr>
          <w:ilvl w:val="0"/>
          <w:numId w:val="1001"/>
        </w:numPr>
      </w:pPr>
      <w:r>
        <w:t xml:space="preserve">Chapter 7 — Evaluation (</w:t>
      </w:r>
      <w:hyperlink r:id="rId26">
        <w:r>
          <w:rPr>
            <w:rStyle w:val="VerbatimChar"/>
          </w:rPr>
          <w:t xml:space="preserve">examples/chapter7</w:t>
        </w:r>
      </w:hyperlink>
      <w:r>
        <w:t xml:space="preserve">)</w:t>
      </w:r>
    </w:p>
    <w:p>
      <w:pPr>
        <w:pStyle w:val="Compact"/>
        <w:numPr>
          <w:ilvl w:val="1"/>
          <w:numId w:val="1008"/>
        </w:numPr>
      </w:pPr>
      <w:r>
        <w:t xml:space="preserve">ROC and PR curves, tolerance windows, and soft evaluation (SoftED) to credit near‑miss detections.</w:t>
      </w:r>
    </w:p>
    <w:p>
      <w:pPr>
        <w:pStyle w:val="Compact"/>
        <w:numPr>
          <w:ilvl w:val="0"/>
          <w:numId w:val="1001"/>
        </w:numPr>
      </w:pPr>
      <w:r>
        <w:t xml:space="preserve">Chapter 8 — Bibliographic Exploration (</w:t>
      </w:r>
      <w:hyperlink r:id="rId27">
        <w:r>
          <w:rPr>
            <w:rStyle w:val="VerbatimChar"/>
          </w:rPr>
          <w:t xml:space="preserve">examples/chapter8</w:t>
        </w:r>
      </w:hyperlink>
      <w:r>
        <w:t xml:space="preserve">)</w:t>
      </w:r>
    </w:p>
    <w:p>
      <w:pPr>
        <w:pStyle w:val="Compact"/>
        <w:numPr>
          <w:ilvl w:val="1"/>
          <w:numId w:val="1009"/>
        </w:numPr>
      </w:pPr>
      <w:r>
        <w:t xml:space="preserve">Word clouds, production over time, intersections across topics, and summary tables for the literature survey.</w:t>
      </w:r>
    </w:p>
    <w:p>
      <w:pPr>
        <w:pStyle w:val="Compact"/>
        <w:numPr>
          <w:ilvl w:val="0"/>
          <w:numId w:val="1001"/>
        </w:numPr>
      </w:pPr>
      <w:r>
        <w:t xml:space="preserve">Appendix:</w:t>
      </w:r>
      <w:r>
        <w:t xml:space="preserve"> </w:t>
      </w:r>
      <w:hyperlink r:id="rId28">
        <w:r>
          <w:rPr>
            <w:rStyle w:val="VerbatimChar"/>
          </w:rPr>
          <w:t xml:space="preserve">examples/appendix</w:t>
        </w:r>
      </w:hyperlink>
      <w:r>
        <w:t xml:space="preserve"> </w:t>
      </w:r>
      <w:r>
        <w:t xml:space="preserve">includes supplementary experiments and deeper dives.</w:t>
      </w:r>
    </w:p>
    <w:p>
      <w:pPr>
        <w:pStyle w:val="Compact"/>
        <w:numPr>
          <w:ilvl w:val="0"/>
          <w:numId w:val="1001"/>
        </w:numPr>
      </w:pPr>
      <w:r>
        <w:t xml:space="preserve">Benchmark:</w:t>
      </w:r>
      <w:r>
        <w:t xml:space="preserve"> </w:t>
      </w:r>
      <w:hyperlink r:id="rId29">
        <w:r>
          <w:rPr>
            <w:rStyle w:val="VerbatimChar"/>
          </w:rPr>
          <w:t xml:space="preserve">bench</w:t>
        </w:r>
      </w:hyperlink>
      <w:r>
        <w:t xml:space="preserve"> </w:t>
      </w:r>
      <w:r>
        <w:t xml:space="preserve">includes description for benchmarking event/anomaly detection methods.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github.com/eogasawara/TSED/tree/main/bench" TargetMode="External" /><Relationship Type="http://schemas.openxmlformats.org/officeDocument/2006/relationships/hyperlink" Id="rId28" Target="https://github.com/eogasawara/TSED/tree/main/examples/appendix" TargetMode="External" /><Relationship Type="http://schemas.openxmlformats.org/officeDocument/2006/relationships/hyperlink" Id="rId20" Target="https://github.com/eogasawara/TSED/tree/main/examples/chapter1" TargetMode="External" /><Relationship Type="http://schemas.openxmlformats.org/officeDocument/2006/relationships/hyperlink" Id="rId21" Target="https://github.com/eogasawara/TSED/tree/main/examples/chapter2" TargetMode="External" /><Relationship Type="http://schemas.openxmlformats.org/officeDocument/2006/relationships/hyperlink" Id="rId22" Target="https://github.com/eogasawara/TSED/tree/main/examples/chapter3" TargetMode="External" /><Relationship Type="http://schemas.openxmlformats.org/officeDocument/2006/relationships/hyperlink" Id="rId23" Target="https://github.com/eogasawara/TSED/tree/main/examples/chapter4" TargetMode="External" /><Relationship Type="http://schemas.openxmlformats.org/officeDocument/2006/relationships/hyperlink" Id="rId24" Target="https://github.com/eogasawara/TSED/tree/main/examples/chapter5" TargetMode="External" /><Relationship Type="http://schemas.openxmlformats.org/officeDocument/2006/relationships/hyperlink" Id="rId25" Target="https://github.com/eogasawara/TSED/tree/main/examples/chapter6" TargetMode="External" /><Relationship Type="http://schemas.openxmlformats.org/officeDocument/2006/relationships/hyperlink" Id="rId26" Target="https://github.com/eogasawara/TSED/tree/main/examples/chapter7" TargetMode="External" /><Relationship Type="http://schemas.openxmlformats.org/officeDocument/2006/relationships/hyperlink" Id="rId27" Target="https://github.com/eogasawara/TSED/tree/main/examples/chapter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eogasawara/TSED/tree/main/bench" TargetMode="External" /><Relationship Type="http://schemas.openxmlformats.org/officeDocument/2006/relationships/hyperlink" Id="rId28" Target="https://github.com/eogasawara/TSED/tree/main/examples/appendix" TargetMode="External" /><Relationship Type="http://schemas.openxmlformats.org/officeDocument/2006/relationships/hyperlink" Id="rId20" Target="https://github.com/eogasawara/TSED/tree/main/examples/chapter1" TargetMode="External" /><Relationship Type="http://schemas.openxmlformats.org/officeDocument/2006/relationships/hyperlink" Id="rId21" Target="https://github.com/eogasawara/TSED/tree/main/examples/chapter2" TargetMode="External" /><Relationship Type="http://schemas.openxmlformats.org/officeDocument/2006/relationships/hyperlink" Id="rId22" Target="https://github.com/eogasawara/TSED/tree/main/examples/chapter3" TargetMode="External" /><Relationship Type="http://schemas.openxmlformats.org/officeDocument/2006/relationships/hyperlink" Id="rId23" Target="https://github.com/eogasawara/TSED/tree/main/examples/chapter4" TargetMode="External" /><Relationship Type="http://schemas.openxmlformats.org/officeDocument/2006/relationships/hyperlink" Id="rId24" Target="https://github.com/eogasawara/TSED/tree/main/examples/chapter5" TargetMode="External" /><Relationship Type="http://schemas.openxmlformats.org/officeDocument/2006/relationships/hyperlink" Id="rId25" Target="https://github.com/eogasawara/TSED/tree/main/examples/chapter6" TargetMode="External" /><Relationship Type="http://schemas.openxmlformats.org/officeDocument/2006/relationships/hyperlink" Id="rId26" Target="https://github.com/eogasawara/TSED/tree/main/examples/chapter7" TargetMode="External" /><Relationship Type="http://schemas.openxmlformats.org/officeDocument/2006/relationships/hyperlink" Id="rId27" Target="https://github.com/eogasawara/TSED/tree/main/examples/chapter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2025-11-06T23:32:48Z</dcterms:created>
  <dcterms:modified xsi:type="dcterms:W3CDTF">2025-11-06T23:32:48Z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