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4: Example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(RColorBrewer)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(harbinger)</w:t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"https://raw.githubusercontent.com/eogasawara/TSED/refs/heads/main/code/header.R"</w:t>
      </w:r>
      <w:r>
        <w:rPr>
          <w:rStyle w:val="NormalTok"/>
        </w:rPr>
        <w:t xml:space="preserve">)</w:t>
      </w:r>
    </w:p>
    <w:bookmarkStart w:id="28" w:name="theoretical-overview"/>
    <w:p>
      <w:pPr>
        <w:pStyle w:val="Heading2"/>
      </w:pPr>
      <w:r>
        <w:t xml:space="preserve">Theoretical Overview</w:t>
      </w:r>
    </w:p>
    <w:p>
      <w:pPr>
        <w:pStyle w:val="FirstParagraph"/>
      </w:pPr>
      <w:r>
        <w:t xml:space="preserve">This example demonstrates a concise end-to-end event detection workflow using Harbinger over a synthetic series with annotated change points. We load data, fit a default detector, run detection, and produce a figure with labeled segments and reference lines.</w:t>
      </w:r>
      <w:r>
        <w:t xml:space="preserve"> </w:t>
      </w:r>
      <w:r>
        <w:t xml:space="preserve">## Example Overview and Goals</w:t>
      </w:r>
      <w:r>
        <w:t xml:space="preserve"> </w:t>
      </w:r>
      <w:r>
        <w:t xml:space="preserve">The goal is to illustrate the minimal steps to: load a dataset, fit a model, detect events, and generate a publication-quality plot with annotations.</w:t>
      </w:r>
      <w:r>
        <w:t xml:space="preserve"> </w:t>
      </w:r>
      <w:r>
        <w:t xml:space="preserve">### Knitr Options</w:t>
      </w:r>
      <w:r>
        <w:t xml:space="preserve"> </w:t>
      </w:r>
      <w:r>
        <w:t xml:space="preserve">Make output clean and reproducible across runs.</w:t>
      </w:r>
    </w:p>
    <w:bookmarkStart w:id="20" w:name="setup-and-libraries"/>
    <w:p>
      <w:pPr>
        <w:pStyle w:val="Heading3"/>
      </w:pPr>
      <w:r>
        <w:t xml:space="preserve">Setup and Libraries</w:t>
      </w:r>
    </w:p>
    <w:p>
      <w:pPr>
        <w:pStyle w:val="FirstParagraph"/>
      </w:pPr>
      <w:r>
        <w:t xml:space="preserve">Load project helpers and required packages.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(RColorBrewer)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(harbinger)</w:t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"https://raw.githubusercontent.com/eogasawara/TSED/refs/heads/main/code/header.R"</w:t>
      </w:r>
      <w:r>
        <w:rPr>
          <w:rStyle w:val="NormalTok"/>
        </w:rPr>
        <w:t xml:space="preserve">)</w:t>
      </w:r>
    </w:p>
    <w:bookmarkEnd w:id="20"/>
    <w:bookmarkStart w:id="21" w:name="data"/>
    <w:p>
      <w:pPr>
        <w:pStyle w:val="Heading3"/>
      </w:pPr>
      <w:r>
        <w:t xml:space="preserve">Data</w:t>
      </w:r>
    </w:p>
    <w:p>
      <w:pPr>
        <w:pStyle w:val="FirstParagraph"/>
      </w:pPr>
      <w:r>
        <w:t xml:space="preserve">Load the example series used to illustrate change points.</w:t>
      </w:r>
    </w:p>
    <w:p>
      <w:pPr>
        <w:pStyle w:val="SourceCode"/>
      </w:pPr>
      <w:r>
        <w:rPr>
          <w:rStyle w:val="FunctionTok"/>
        </w:rPr>
        <w:t xml:space="preserve">data</w:t>
      </w:r>
      <w:r>
        <w:rPr>
          <w:rStyle w:val="NormalTok"/>
        </w:rPr>
        <w:t xml:space="preserve">(examples_changepoints)  </w:t>
      </w:r>
      <w:r>
        <w:rPr>
          <w:rStyle w:val="CommentTok"/>
        </w:rPr>
        <w:t xml:space="preserve"># built-in dataset from Harbinger examples</w:t>
      </w:r>
    </w:p>
    <w:bookmarkEnd w:id="21"/>
    <w:bookmarkStart w:id="22" w:name="fit-and-detect"/>
    <w:p>
      <w:pPr>
        <w:pStyle w:val="Heading3"/>
      </w:pPr>
      <w:r>
        <w:t xml:space="preserve">Fit and Detect</w:t>
      </w:r>
    </w:p>
    <w:p>
      <w:pPr>
        <w:pStyle w:val="FirstParagraph"/>
      </w:pPr>
      <w:r>
        <w:t xml:space="preserve">Instantiate the default Harbinger detector, fit on the series, and run detection.</w:t>
      </w:r>
    </w:p>
    <w:p>
      <w:pPr>
        <w:pStyle w:val="SourceCode"/>
      </w:pP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examples_changepoints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complex        </w:t>
      </w:r>
      <w:r>
        <w:rPr>
          <w:rStyle w:val="CommentTok"/>
        </w:rPr>
        <w:t xml:space="preserve"># select the complex example series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harbinger</w:t>
      </w:r>
      <w:r>
        <w:rPr>
          <w:rStyle w:val="NormalTok"/>
        </w:rPr>
        <w:t xml:space="preserve">(),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        </w:t>
      </w:r>
      <w:r>
        <w:rPr>
          <w:rStyle w:val="CommentTok"/>
        </w:rPr>
        <w:t xml:space="preserve"># fit default detector</w:t>
      </w:r>
      <w:r>
        <w:br/>
      </w:r>
      <w:r>
        <w:rPr>
          <w:rStyle w:val="NormalTok"/>
        </w:rPr>
        <w:t xml:space="preserve">detection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</w:t>
      </w:r>
      <w:r>
        <w:rPr>
          <w:rStyle w:val="NormalTok"/>
        </w:rPr>
        <w:t xml:space="preserve">(model,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       </w:t>
      </w:r>
      <w:r>
        <w:rPr>
          <w:rStyle w:val="CommentTok"/>
        </w:rPr>
        <w:t xml:space="preserve"># compute detections (events/scores)</w:t>
      </w:r>
    </w:p>
    <w:bookmarkEnd w:id="22"/>
    <w:bookmarkStart w:id="27" w:name="visualization-and-output"/>
    <w:p>
      <w:pPr>
        <w:pStyle w:val="Heading3"/>
      </w:pPr>
      <w:r>
        <w:t xml:space="preserve">Visualization and Output</w:t>
      </w:r>
    </w:p>
    <w:p>
      <w:pPr>
        <w:pStyle w:val="FirstParagraph"/>
      </w:pPr>
      <w:r>
        <w:t xml:space="preserve">Plot the series and add visual guides to emphasize regime changes. The labels A–E mark segments; dashed lines and cp[…] annotate change points.</w:t>
      </w:r>
    </w:p>
    <w:p>
      <w:pPr>
        <w:pStyle w:val="SourceCode"/>
      </w:pPr>
      <w:r>
        <w:rPr>
          <w:rStyle w:val="CommentTok"/>
        </w:rPr>
        <w:t xml:space="preserve"># Base plot with detections overlaid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(model,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serie, detection)</w:t>
      </w:r>
      <w:r>
        <w:br/>
      </w:r>
      <w:r>
        <w:rPr>
          <w:rStyle w:val="CommentTok"/>
        </w:rPr>
        <w:t xml:space="preserve"># Cosmetic improvements and annotations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"example"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annotate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"darkgray"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annotate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11.8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"cp[AB]"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parse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annotate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"darkgray"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annotate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11.8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"cp[BC]"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parse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annotate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"darkgray"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annotate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11.8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"cp[CD]"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parse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annotate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"darkgray"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annotate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411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11.8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"cp[DE]"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parse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annotate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font</w:t>
      </w:r>
      <w:r>
        <w:br/>
      </w:r>
      <w:r>
        <w:rPr>
          <w:rStyle w:val="CommentTok"/>
        </w:rPr>
        <w:t xml:space="preserve"># Save figure</w:t>
      </w:r>
      <w:r>
        <w:br/>
      </w:r>
      <w:r>
        <w:rPr>
          <w:rStyle w:val="CommentTok"/>
        </w:rPr>
        <w:t xml:space="preserve">#save_png(grf, "figures/chap4_example.png", 1280, 720)</w:t>
      </w:r>
      <w:r>
        <w:br/>
      </w:r>
      <w:r>
        <w:rPr>
          <w:rStyle w:val="NormalTok"/>
        </w:rPr>
        <w:t xml:space="preserve">grf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C:/Git/eogasawara/TSED/examples/chapter4/doc/chap4_example_files/figure-docx/plot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## References</w:t>
      </w:r>
      <w:r>
        <w:t xml:space="preserve"> </w:t>
      </w:r>
      <w:r>
        <w:t xml:space="preserve">* Yeh, C.-C. M., et al. (2016). Matrix Profile I: All Pairs Similarity Joins for Time Series.</w:t>
      </w:r>
      <w:r>
        <w:t xml:space="preserve"> </w:t>
      </w:r>
      <w:r>
        <w:t xml:space="preserve">* Ogasawara, E., Salles, R., Porto, F., Pacitti, E. Event Detection in Time Series. Springer, 2025.</w:t>
      </w:r>
      <w:r>
        <w:t xml:space="preserve"> </w:t>
      </w:r>
      <w:hyperlink r:id="rId26">
        <w:r>
          <w:rPr>
            <w:rStyle w:val="Hyperlink"/>
          </w:rPr>
          <w:t xml:space="preserve">doi:10.1007/978-3-031-75941-3</w:t>
        </w:r>
      </w:hyperlink>
      <w:r>
        <w:t xml:space="preserve">.</w:t>
      </w:r>
    </w:p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hyperlink" Id="rId26" Target="doi:10.1007/978-3-031-75941-3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doi:10.1007/978-3-031-75941-3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4: Example</dc:title>
  <dc:creator/>
  <cp:keywords/>
  <dcterms:created xsi:type="dcterms:W3CDTF">2025-11-06T23:05:48Z</dcterms:created>
  <dcterms:modified xsi:type="dcterms:W3CDTF">2025-11-06T23:05:48Z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>html_document</vt:lpwstr>
  </property>
</Properties>
</file>