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Soft Evaluation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1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illustrates soft evaluation: assigning partial credit to detections within a tolerance interval around the true event time, and visualizing how traditional (binary) vs. soft scoring differ.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Make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project helpers and packages.</w:t>
      </w:r>
    </w:p>
    <w:p>
      <w:pPr>
        <w:pStyle w:val="SourceCode"/>
      </w:pPr>
      <w:r>
        <w:rPr>
          <w:rStyle w:val="CommentTok"/>
        </w:rPr>
        <w:t xml:space="preserve"># Project helper: plot theme `font` and utility `save_png()`</w:t>
      </w:r>
    </w:p>
    <w:bookmarkEnd w:id="20"/>
    <w:bookmarkStart w:id="21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1"/>
    <w:bookmarkStart w:id="22" w:name="data-and-model"/>
    <w:p>
      <w:pPr>
        <w:pStyle w:val="Heading3"/>
      </w:pPr>
      <w:r>
        <w:t xml:space="preserve">Data and Model</w:t>
      </w:r>
    </w:p>
    <w:p>
      <w:pPr>
        <w:pStyle w:val="FirstParagraph"/>
      </w:pPr>
      <w:r>
        <w:t xml:space="preserve">Create a synthetic series and fit a baseline Harbinger model to illustrate the</w:t>
      </w:r>
      <w:r>
        <w:t xml:space="preserve"> </w:t>
      </w:r>
      <w:r>
        <w:t xml:space="preserve">difference between traditional (binary) and soft evaluation.</w:t>
      </w:r>
    </w:p>
    <w:p>
      <w:pPr>
        <w:pStyle w:val="SourceCode"/>
      </w:pPr>
      <w:r>
        <w:rPr>
          <w:rStyle w:val="CommentTok"/>
        </w:rPr>
        <w:t xml:space="preserve">#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              </w:t>
      </w:r>
      <w:r>
        <w:rPr>
          <w:rStyle w:val="CommentTok"/>
        </w:rPr>
        <w:t xml:space="preserve"># initial level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descending curve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             </w:t>
      </w:r>
      <w:r>
        <w:rPr>
          <w:rStyle w:val="CommentTok"/>
        </w:rPr>
        <w:t xml:space="preserve"># low tail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                           </w:t>
      </w:r>
      <w:r>
        <w:rPr>
          <w:rStyle w:val="CommentTok"/>
        </w:rPr>
        <w:t xml:space="preserve"># shift for plotting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Fit a Harbinger model using the series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a)</w:t>
      </w:r>
    </w:p>
    <w:bookmarkEnd w:id="22"/>
    <w:bookmarkStart w:id="23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a)</w:t>
      </w:r>
    </w:p>
    <w:bookmarkEnd w:id="23"/>
    <w:bookmarkStart w:id="24" w:name="labeling-and-plot-setup"/>
    <w:p>
      <w:pPr>
        <w:pStyle w:val="Heading3"/>
      </w:pPr>
      <w:r>
        <w:t xml:space="preserve">Labeling and Plot Setup</w:t>
      </w:r>
    </w:p>
    <w:p>
      <w:pPr>
        <w:pStyle w:val="FirstParagraph"/>
      </w:pPr>
      <w:r>
        <w:t xml:space="preserve">Mark detected events (for illustration) and define the ground-truth labels to</w:t>
      </w:r>
      <w:r>
        <w:t xml:space="preserve"> </w:t>
      </w:r>
      <w:r>
        <w:t xml:space="preserve">contrast traditional vs. soft credit within a tolerance window.</w:t>
      </w:r>
    </w:p>
    <w:p>
      <w:pPr>
        <w:pStyle w:val="SourceCode"/>
      </w:pP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(a))</w:t>
      </w:r>
      <w:r>
        <w:br/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CommentTok"/>
        </w:rPr>
        <w:t xml:space="preserve"># Plot detections over the series</w:t>
      </w:r>
    </w:p>
    <w:bookmarkEnd w:id="24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a, detection, event, </w:t>
      </w:r>
      <w:r>
        <w:rPr>
          <w:rStyle w:val="AttributeTok"/>
        </w:rPr>
        <w:t xml:space="preserve">colors=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"traditional"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FloatTok"/>
        </w:rPr>
        <w:t xml:space="preserve">21.5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"softed"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bookmarkEnd w:id="25"/>
    <w:bookmarkStart w:id="30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"figures/chap7_soft_evaluation.png",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soft_evaluation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Fawcett, T. (2006). An introduction to ROC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Soft Evaluation</dc:title>
  <dc:creator/>
  <cp:keywords/>
  <dcterms:created xsi:type="dcterms:W3CDTF">2025-11-06T23:28:40Z</dcterms:created>
  <dcterms:modified xsi:type="dcterms:W3CDTF">2025-11-06T23:28:40Z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