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1.png" ContentType="image/png"/>
  <Override PartName="/word/media/rId74.png" ContentType="image/png"/>
  <Override PartName="/word/media/rId77.png" ContentType="image/png"/>
  <Override PartName="/word/media/rId52.png" ContentType="image/png"/>
  <Override PartName="/word/media/rId38.png" ContentType="image/png"/>
  <Override PartName="/word/media/rId30.png" ContentType="image/png"/>
  <Override PartName="/word/media/rId27.png" ContentType="image/png"/>
  <Override PartName="/word/media/rId24.png" ContentType="image/png"/>
  <Override PartName="/word/media/rId68.png" ContentType="image/png"/>
  <Override PartName="/word/media/rId71.png" ContentType="image/png"/>
  <Override PartName="/word/media/rId45.png" ContentType="image/png"/>
  <Override PartName="/word/media/rId48.png" ContentType="image/png"/>
  <Override PartName="/word/media/rId55.png" ContentType="image/png"/>
  <Override PartName="/word/media/rId61.png" ContentType="image/png"/>
  <Override PartName="/word/media/rId6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análise-exploratória-de-dados-eda"/>
    <w:p>
      <w:pPr>
        <w:pStyle w:val="Heading1"/>
      </w:pPr>
      <w:r>
        <w:t xml:space="preserve">Análise Exploratória de Dados (EDA)</w:t>
      </w:r>
    </w:p>
    <w:p>
      <w:pPr>
        <w:pStyle w:val="FirstParagraph"/>
      </w:pPr>
      <w:r>
        <w:t xml:space="preserve">Este roteiro apresenta exemplos práticos alinhados aos slides de</w:t>
      </w:r>
      <w:r>
        <w:t xml:space="preserve"> </w:t>
      </w:r>
      <w:r>
        <w:rPr>
          <w:rStyle w:val="VerbatimChar"/>
        </w:rPr>
        <w:t xml:space="preserve">2-AnaliseExploratoria.pdf</w:t>
      </w:r>
      <w:r>
        <w:t xml:space="preserve">.</w:t>
      </w:r>
      <w:r>
        <w:br/>
      </w:r>
      <w:r>
        <w:t xml:space="preserve">Cada chunk inclui um comentário com o</w:t>
      </w:r>
      <w:r>
        <w:t xml:space="preserve"> </w:t>
      </w:r>
      <w:r>
        <w:rPr>
          <w:b/>
          <w:bCs/>
        </w:rPr>
        <w:t xml:space="preserve">número do slide</w:t>
      </w:r>
      <w:r>
        <w:t xml:space="preserve"> </w:t>
      </w:r>
      <w:r>
        <w:t xml:space="preserve">correspondente.</w:t>
      </w:r>
    </w:p>
    <w:bookmarkStart w:id="20" w:name="como-ler-este-roteiro"/>
    <w:p>
      <w:pPr>
        <w:pStyle w:val="Heading2"/>
      </w:pPr>
      <w:r>
        <w:t xml:space="preserve">Como ler este roteiro</w:t>
      </w:r>
    </w:p>
    <w:p>
      <w:pPr>
        <w:pStyle w:val="FirstParagraph"/>
      </w:pPr>
      <w:r>
        <w:t xml:space="preserve">Use cada bloco com três perguntas-guia:</w:t>
      </w:r>
      <w:r>
        <w:t xml:space="preserve"> </w:t>
      </w:r>
      <w:r>
        <w:t xml:space="preserve">1. o que a visualização revela sobre distribuição/separação;</w:t>
      </w:r>
      <w:r>
        <w:t xml:space="preserve"> </w:t>
      </w:r>
      <w:r>
        <w:t xml:space="preserve">2. qual hipótese ela sugere para modelagem;</w:t>
      </w:r>
      <w:r>
        <w:t xml:space="preserve"> </w:t>
      </w:r>
      <w:r>
        <w:t xml:space="preserve">3. qual limitação ela possui (escala, sobreposição, outliers).</w:t>
      </w:r>
    </w:p>
    <w:bookmarkEnd w:id="20"/>
    <w:bookmarkStart w:id="21" w:name="configuração"/>
    <w:p>
      <w:pPr>
        <w:pStyle w:val="Heading2"/>
      </w:pPr>
      <w:r>
        <w:t xml:space="preserve">Configuração</w:t>
      </w:r>
    </w:p>
    <w:p>
      <w:pPr>
        <w:pStyle w:val="SourceCode"/>
      </w:pPr>
      <w:r>
        <w:rPr>
          <w:rStyle w:val="CommentTok"/>
        </w:rPr>
        <w:t xml:space="preserve"># Slides 1–3: contexto e objetivos da EDA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(aplpack)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Os helpers abaixo consolidam chamadas de visualização para manter os exemplos mais diretos.</w:t>
      </w:r>
    </w:p>
    <w:p>
      <w:pPr>
        <w:pStyle w:val="SourceCode"/>
      </w:pPr>
      <w:r>
        <w:rPr>
          <w:rStyle w:val="CommentTok"/>
        </w:rPr>
        <w:t xml:space="preserve"># Funcoes helper foram movidas para o daltoolbox:</w:t>
      </w:r>
      <w:r>
        <w:br/>
      </w:r>
      <w:r>
        <w:rPr>
          <w:rStyle w:val="CommentTok"/>
        </w:rPr>
        <w:t xml:space="preserve"># plot_correlation(), plot_pair(), plot_pair_adv(), plot_parallel(), plot_pixel()</w:t>
      </w:r>
    </w:p>
    <w:bookmarkEnd w:id="21"/>
    <w:bookmarkStart w:id="22" w:name="conjunto-de-dados-iris"/>
    <w:p>
      <w:pPr>
        <w:pStyle w:val="Heading2"/>
      </w:pPr>
      <w:r>
        <w:t xml:space="preserve">Conjunto de Dados Iris</w:t>
      </w:r>
    </w:p>
    <w:p>
      <w:pPr>
        <w:pStyle w:val="SourceCode"/>
      </w:pPr>
      <w:r>
        <w:rPr>
          <w:rStyle w:val="CommentTok"/>
        </w:rPr>
        <w:t xml:space="preserve"># Slides 11: O conjunto de dados 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), ])</w:t>
      </w:r>
    </w:p>
    <w:p>
      <w:pPr>
        <w:pStyle w:val="SourceCode"/>
      </w:pPr>
      <w:r>
        <w:rPr>
          <w:rStyle w:val="VerbatimChar"/>
        </w:rPr>
        <w:t xml:space="preserve">##     Sepal.Length Sepal.Width Petal.Length Petal.Width    Species</w:t>
      </w:r>
      <w:r>
        <w:br/>
      </w:r>
      <w:r>
        <w:rPr>
          <w:rStyle w:val="VerbatimChar"/>
        </w:rPr>
        <w:t xml:space="preserve">## 1            5.1         3.5          1.4         0.2     setosa</w:t>
      </w:r>
      <w:r>
        <w:br/>
      </w:r>
      <w:r>
        <w:rPr>
          <w:rStyle w:val="VerbatimChar"/>
        </w:rPr>
        <w:t xml:space="preserve">## 2            4.9         3.0          1.4         0.2     setosa</w:t>
      </w:r>
      <w:r>
        <w:br/>
      </w:r>
      <w:r>
        <w:rPr>
          <w:rStyle w:val="VerbatimChar"/>
        </w:rPr>
        <w:t xml:space="preserve">## 51           7.0         3.2          4.7         1.4 versicolor</w:t>
      </w:r>
      <w:r>
        <w:br/>
      </w:r>
      <w:r>
        <w:rPr>
          <w:rStyle w:val="VerbatimChar"/>
        </w:rPr>
        <w:t xml:space="preserve">## 52           6.4         3.2          4.5         1.5 versicolor</w:t>
      </w:r>
      <w:r>
        <w:br/>
      </w:r>
      <w:r>
        <w:rPr>
          <w:rStyle w:val="VerbatimChar"/>
        </w:rPr>
        <w:t xml:space="preserve">## 101          6.3         3.3          6.0         2.5  virginica</w:t>
      </w:r>
      <w:r>
        <w:br/>
      </w:r>
      <w:r>
        <w:rPr>
          <w:rStyle w:val="VerbatimChar"/>
        </w:rPr>
        <w:t xml:space="preserve">## 102          5.8         2.7          5.1         1.9  virginica</w:t>
      </w:r>
    </w:p>
    <w:bookmarkEnd w:id="22"/>
    <w:bookmarkStart w:id="23" w:name="estatísticas-descritivas"/>
    <w:p>
      <w:pPr>
        <w:pStyle w:val="Heading2"/>
      </w:pPr>
      <w:r>
        <w:t xml:space="preserve">Estatísticas descritivas</w:t>
      </w:r>
    </w:p>
    <w:p>
      <w:pPr>
        <w:pStyle w:val="SourceCode"/>
      </w:pPr>
      <w:r>
        <w:rPr>
          <w:rStyle w:val="CommentTok"/>
        </w:rPr>
        <w:t xml:space="preserve"># Slides 12–13: medidas descritivas básicas</w:t>
      </w:r>
      <w:r>
        <w:br/>
      </w:r>
      <w:r>
        <w:rPr>
          <w:rStyle w:val="NormalTok"/>
        </w:rPr>
        <w:t xml:space="preserve">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sum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4.300   5.100   5.800   5.843   6.400   7.900</w:t>
      </w:r>
    </w:p>
    <w:p>
      <w:pPr>
        <w:pStyle w:val="FirstParagraph"/>
      </w:pPr>
      <w:r>
        <w:t xml:space="preserve">Com o resumo estatístico, calculamos o IQR para reforçar leitura de dispersão e potencial presença de outliers.</w:t>
      </w:r>
    </w:p>
    <w:p>
      <w:pPr>
        <w:pStyle w:val="SourceCode"/>
      </w:pPr>
      <w:r>
        <w:rPr>
          <w:rStyle w:val="CommentTok"/>
        </w:rPr>
        <w:t xml:space="preserve"># Slides 14: quartis e IQR</w:t>
      </w:r>
      <w:r>
        <w:br/>
      </w:r>
      <w:r>
        <w:rPr>
          <w:rStyle w:val="NormalTok"/>
        </w:rPr>
        <w:t xml:space="preserve">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sum[</w:t>
      </w:r>
      <w:r>
        <w:rPr>
          <w:rStyle w:val="StringTok"/>
        </w:rPr>
        <w:t xml:space="preserve">"3rd Qu."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sum[</w:t>
      </w:r>
      <w:r>
        <w:rPr>
          <w:rStyle w:val="StringTok"/>
        </w:rPr>
        <w:t xml:space="preserve">"1st Qu."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IQR</w:t>
      </w:r>
    </w:p>
    <w:p>
      <w:pPr>
        <w:pStyle w:val="SourceCode"/>
      </w:pPr>
      <w:r>
        <w:rPr>
          <w:rStyle w:val="VerbatimChar"/>
        </w:rPr>
        <w:t xml:space="preserve">## 3rd Qu. </w:t>
      </w:r>
      <w:r>
        <w:br/>
      </w:r>
      <w:r>
        <w:rPr>
          <w:rStyle w:val="VerbatimChar"/>
        </w:rPr>
        <w:t xml:space="preserve">##     1.3</w:t>
      </w:r>
    </w:p>
    <w:bookmarkEnd w:id="23"/>
    <w:bookmarkStart w:id="33" w:name="histogramas-e-densidades"/>
    <w:p>
      <w:pPr>
        <w:pStyle w:val="Heading2"/>
      </w:pPr>
      <w:r>
        <w:t xml:space="preserve">Histogramas e densidades</w:t>
      </w:r>
    </w:p>
    <w:p>
      <w:pPr>
        <w:pStyle w:val="SourceCode"/>
      </w:pPr>
      <w:r>
        <w:rPr>
          <w:rStyle w:val="CommentTok"/>
        </w:rPr>
        <w:t xml:space="preserve"># Slides 18: histograma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 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hist_single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Em seguida, comparamos histogramas de todos os atributos para identificar diferenças globais de escala e formato.</w:t>
      </w:r>
    </w:p>
    <w:p>
      <w:pPr>
        <w:pStyle w:val="SourceCode"/>
      </w:pPr>
      <w:r>
        <w:rPr>
          <w:rStyle w:val="CommentTok"/>
        </w:rPr>
        <w:t xml:space="preserve"># Slides 16–17: histogramas agrupados</w:t>
      </w:r>
      <w:r>
        <w:br/>
      </w:r>
      <w:r>
        <w:rPr>
          <w:rStyle w:val="NormalTok"/>
        </w:rPr>
        <w:t xml:space="preserve">grf1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(grf1, grf2, grf3, grf4,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hist_grid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Depois da contagem por bins, avaliamos densidades para uma visão suavizada das mesmas distribuições.</w:t>
      </w:r>
    </w:p>
    <w:p>
      <w:pPr>
        <w:pStyle w:val="SourceCode"/>
      </w:pPr>
      <w:r>
        <w:rPr>
          <w:rStyle w:val="CommentTok"/>
        </w:rPr>
        <w:t xml:space="preserve"># Slides 17: densidade</w:t>
      </w:r>
      <w:r>
        <w:br/>
      </w:r>
      <w:r>
        <w:rPr>
          <w:rStyle w:val="NormalTok"/>
        </w:rPr>
        <w:t xml:space="preserve">grf1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(grf1, grf2, grf3, grf4,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density_grid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boxplots"/>
    <w:p>
      <w:pPr>
        <w:pStyle w:val="Heading2"/>
      </w:pPr>
      <w:r>
        <w:t xml:space="preserve">Boxplots</w:t>
      </w:r>
    </w:p>
    <w:p>
      <w:pPr>
        <w:pStyle w:val="SourceCode"/>
      </w:pPr>
      <w:r>
        <w:rPr>
          <w:rStyle w:val="CommentTok"/>
        </w:rPr>
        <w:t xml:space="preserve"># Slides 24: boxplot do Iris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(iris,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boxplo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4" w:name="comparação-por-classe"/>
    <w:p>
      <w:pPr>
        <w:pStyle w:val="Heading2"/>
      </w:pPr>
      <w:r>
        <w:t xml:space="preserve">Comparação por classe</w:t>
      </w:r>
    </w:p>
    <w:p>
      <w:pPr>
        <w:pStyle w:val="SourceCode"/>
      </w:pPr>
      <w:r>
        <w:rPr>
          <w:rStyle w:val="CommentTok"/>
        </w:rPr>
        <w:t xml:space="preserve"># Slides 25: densidade com rótulo de classe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Petal.Length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Petal.Width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grfD,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density_clas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leitura por densidade é complementada por boxplot por classe, destacando mediana, quartis e amplitude.</w:t>
      </w:r>
    </w:p>
    <w:p>
      <w:pPr>
        <w:pStyle w:val="SourceCode"/>
      </w:pPr>
      <w:r>
        <w:rPr>
          <w:rStyle w:val="CommentTok"/>
        </w:rPr>
        <w:t xml:space="preserve"># Slides 26: boxplot com rótulo de classe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Petal.Length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Petal.Width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grfD,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boxplot_class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51" w:name="scatter-plots"/>
    <w:p>
      <w:pPr>
        <w:pStyle w:val="Heading2"/>
      </w:pPr>
      <w:r>
        <w:t xml:space="preserve">Scatter plots</w:t>
      </w:r>
    </w:p>
    <w:p>
      <w:pPr>
        <w:pStyle w:val="SourceCode"/>
      </w:pPr>
      <w:r>
        <w:rPr>
          <w:rStyle w:val="CommentTok"/>
        </w:rPr>
        <w:t xml:space="preserve"># Slides 28: grafico de dispersao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scatter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Agora incluímos classe no gráfico de dispersão para avaliar separabilidade visual entre espécies.</w:t>
      </w:r>
    </w:p>
    <w:p>
      <w:pPr>
        <w:pStyle w:val="SourceCode"/>
      </w:pPr>
      <w:r>
        <w:rPr>
          <w:rStyle w:val="CommentTok"/>
        </w:rPr>
        <w:t xml:space="preserve"># Slides 29: grafico de dispersao com classe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scatter_class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67" w:name="correlação-e-matrizes"/>
    <w:p>
      <w:pPr>
        <w:pStyle w:val="Heading2"/>
      </w:pPr>
      <w:r>
        <w:t xml:space="preserve">Correlação e matrizes</w:t>
      </w:r>
    </w:p>
    <w:p>
      <w:pPr>
        <w:pStyle w:val="SourceCode"/>
      </w:pPr>
      <w:r>
        <w:rPr>
          <w:rStyle w:val="CommentTok"/>
        </w:rPr>
        <w:t xml:space="preserve"># Slides 31: correlograma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plot_correlation</w:t>
      </w:r>
      <w:r>
        <w:rPr>
          <w:rStyle w:val="NormalTok"/>
        </w:rPr>
        <w:t xml:space="preserve">(iris[,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5334000" cy="355599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correlation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 próximas matrizes aumentam o detalhamento de relações par-a-par, com e sem informação de classe.</w:t>
      </w:r>
    </w:p>
    <w:p>
      <w:pPr>
        <w:pStyle w:val="SourceCode"/>
      </w:pPr>
      <w:r>
        <w:rPr>
          <w:rStyle w:val="CommentTok"/>
        </w:rPr>
        <w:t xml:space="preserve"># Slides 32: matriz de dispersão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scatter_matrix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Agora repetimos a matriz com rótulo de classe para destacar padrões de separação.</w:t>
      </w:r>
    </w:p>
    <w:p>
      <w:pPr>
        <w:pStyle w:val="SourceCode"/>
      </w:pPr>
      <w:r>
        <w:rPr>
          <w:rStyle w:val="CommentTok"/>
        </w:rPr>
        <w:t xml:space="preserve"># Slides 33: matriz de dispersão com classe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scatter_matrix_class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Em seguida, usamos a versão avançada para enriquecer leitura visual das relações.</w:t>
      </w:r>
    </w:p>
    <w:p>
      <w:pPr>
        <w:pStyle w:val="SourceCode"/>
      </w:pPr>
      <w:r>
        <w:rPr>
          <w:rStyle w:val="CommentTok"/>
        </w:rPr>
        <w:t xml:space="preserve"># Slides 34: matriz de dispersão avançada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plot_pair_adv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scatter_matrix_adv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Por fim, combinamos versão avançada com informação de classe.</w:t>
      </w:r>
    </w:p>
    <w:p>
      <w:pPr>
        <w:pStyle w:val="SourceCode"/>
      </w:pPr>
      <w:r>
        <w:rPr>
          <w:rStyle w:val="CommentTok"/>
        </w:rPr>
        <w:t xml:space="preserve"># Slides 35: matriz de dispersão avançada com classe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plot_pair_adv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scatter_matrix_adv_class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Na sequência, usamos representações multivariadas compactas para comparar padrões globais.</w:t>
      </w:r>
    </w:p>
    <w:bookmarkEnd w:id="67"/>
    <w:bookmarkStart w:id="80" w:name="outras-visualizações-multivariadas"/>
    <w:p>
      <w:pPr>
        <w:pStyle w:val="Heading2"/>
      </w:pPr>
      <w:r>
        <w:t xml:space="preserve">Outras visualizações multivariadas</w:t>
      </w:r>
    </w:p>
    <w:p>
      <w:pPr>
        <w:pStyle w:val="SourceCode"/>
      </w:pPr>
      <w:r>
        <w:rPr>
          <w:rStyle w:val="CommentTok"/>
        </w:rPr>
        <w:t xml:space="preserve"># Slides 37: coordenadas paralelas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plot_parallel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parallel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Complementamos com visualização orientada a pixels para comparar padrões de intensidade entre atributos.</w:t>
      </w:r>
    </w:p>
    <w:p>
      <w:pPr>
        <w:pStyle w:val="SourceCode"/>
      </w:pPr>
      <w:r>
        <w:rPr>
          <w:rStyle w:val="CommentTok"/>
        </w:rPr>
        <w:t xml:space="preserve"># Slides 38: visualização orientada a pixels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plot_pixel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"Spectral"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pixel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Fechamos com Chernoff Faces para uma leitura visual de perfis multivariados em amostras reduzidas.</w:t>
      </w:r>
    </w:p>
    <w:p>
      <w:pPr>
        <w:pStyle w:val="SourceCode"/>
      </w:pPr>
      <w:r>
        <w:rPr>
          <w:rStyle w:val="CommentTok"/>
        </w:rPr>
        <w:t xml:space="preserve"># Slides 40–41: Chernoff faces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(iris),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iris[sample_rows,]</w:t>
      </w:r>
      <w:r>
        <w:br/>
      </w:r>
      <w:r>
        <w:rPr>
          <w:rStyle w:val="NormalTok"/>
        </w:rPr>
        <w:t xml:space="preserve">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(isample))</w:t>
      </w:r>
      <w:r>
        <w:br/>
      </w:r>
      <w:r>
        <w:rPr>
          <w:rStyle w:val="NormalTok"/>
        </w:rPr>
        <w:t xml:space="preserve">isample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faces</w:t>
      </w:r>
      <w:r>
        <w:rPr>
          <w:rStyle w:val="NormalTok"/>
        </w:rPr>
        <w:t xml:space="preserve">(isample,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labels, </w:t>
      </w:r>
      <w:r>
        <w:rPr>
          <w:rStyle w:val="AttributeTok"/>
        </w:rPr>
        <w:t xml:space="preserve">print.info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chernoff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Por fim, repetimos com rótulos de classe para destacar diferenças intergrupos.</w:t>
      </w:r>
    </w:p>
    <w:p>
      <w:pPr>
        <w:pStyle w:val="SourceCode"/>
      </w:pPr>
      <w:r>
        <w:rPr>
          <w:rStyle w:val="CommentTok"/>
        </w:rPr>
        <w:t xml:space="preserve"># Slides 42: Chernoff faces com classe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(iris),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iris[sample_rows,]</w:t>
      </w:r>
      <w:r>
        <w:br/>
      </w:r>
      <w:r>
        <w:rPr>
          <w:rStyle w:val="NormalTok"/>
        </w:rPr>
        <w:t xml:space="preserve">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(isample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isample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faces</w:t>
      </w:r>
      <w:r>
        <w:rPr>
          <w:rStyle w:val="NormalTok"/>
        </w:rPr>
        <w:t xml:space="preserve">(isample,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labels, </w:t>
      </w:r>
      <w:r>
        <w:rPr>
          <w:rStyle w:val="AttributeTok"/>
        </w:rPr>
        <w:t xml:space="preserve">print.info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:/Git/eogasawara/datamining/examples/Rmd/doc/04-ExploratoryAnalysis_files/figure-docx/chernoff_class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Tukey, J. W. (1977).</w:t>
      </w:r>
      <w:r>
        <w:t xml:space="preserve"> </w:t>
      </w:r>
      <w:r>
        <w:rPr>
          <w:i/>
          <w:iCs/>
        </w:rPr>
        <w:t xml:space="preserve">Exploratory Data Analysis</w:t>
      </w:r>
      <w:r>
        <w:t xml:space="preserve">. Addison-Wesley.</w:t>
      </w:r>
    </w:p>
    <w:p>
      <w:pPr>
        <w:pStyle w:val="Compact"/>
        <w:numPr>
          <w:ilvl w:val="0"/>
          <w:numId w:val="1001"/>
        </w:numPr>
      </w:pPr>
      <w:r>
        <w:t xml:space="preserve">Cleveland, W. S. (1993).</w:t>
      </w:r>
      <w:r>
        <w:t xml:space="preserve"> </w:t>
      </w:r>
      <w:r>
        <w:rPr>
          <w:i/>
          <w:iCs/>
        </w:rPr>
        <w:t xml:space="preserve">Visualizing Data</w:t>
      </w:r>
      <w:r>
        <w:t xml:space="preserve">. Hobart Press.</w:t>
      </w:r>
    </w:p>
    <w:p>
      <w:pPr>
        <w:pStyle w:val="Compact"/>
        <w:numPr>
          <w:ilvl w:val="0"/>
          <w:numId w:val="1001"/>
        </w:numPr>
      </w:pPr>
      <w:r>
        <w:t xml:space="preserve">Wickham, H. (2016).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Springer.</w:t>
      </w:r>
    </w:p>
    <w:p>
      <w:pPr>
        <w:pStyle w:val="Compact"/>
        <w:numPr>
          <w:ilvl w:val="0"/>
          <w:numId w:val="1001"/>
        </w:numPr>
      </w:pPr>
      <w:r>
        <w:t xml:space="preserve">Friendly, M. (2002). Corrgrams: Exploratory displays for correlation matrices.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Inselberg, A. (1985). The plane with parallel coordinates.</w:t>
      </w:r>
      <w:r>
        <w:t xml:space="preserve"> </w:t>
      </w:r>
      <w:r>
        <w:rPr>
          <w:i/>
          <w:iCs/>
        </w:rPr>
        <w:t xml:space="preserve">The Visual Computer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Chernoff, H. (1973). The use of faces to represent points in k-dimensional space graphically.</w:t>
      </w:r>
      <w:r>
        <w:t xml:space="preserve"> </w:t>
      </w:r>
      <w:r>
        <w:rPr>
          <w:i/>
          <w:iCs/>
        </w:rPr>
        <w:t xml:space="preserve">JASA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52" Target="media/rId52.png" /><Relationship Type="http://schemas.openxmlformats.org/officeDocument/2006/relationships/image" Id="rId38" Target="media/rId38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2026-02-12T02:08:49Z</dcterms:created>
  <dcterms:modified xsi:type="dcterms:W3CDTF">2026-02-12T02:08:49Z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