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lassificação"/>
    <w:p>
      <w:pPr>
        <w:pStyle w:val="Heading1"/>
      </w:pPr>
      <w:r>
        <w:t xml:space="preserve">Classificação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A classificação é uma tarefa de aprendizado supervisionado que aprende a mapear vetores de atributos para rótulos de classe. Ela envolve duas etapas: construção do modelo a partir de dados rotulados e aplicação do modelo a novos casos.</w:t>
      </w:r>
      <w:r>
        <w:br/>
      </w:r>
      <w:r>
        <w:t xml:space="preserve">Slides: 1–6.</w:t>
      </w:r>
    </w:p>
    <w:bookmarkEnd w:id="20"/>
    <w:bookmarkStart w:id="21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Use este roteiro como comparação incremental de modelos:</w:t>
      </w:r>
      <w:r>
        <w:t xml:space="preserve"> </w:t>
      </w:r>
      <w:r>
        <w:t xml:space="preserve">1. estabeleça baseline (Regra Zero);</w:t>
      </w:r>
      <w:r>
        <w:t xml:space="preserve"> </w:t>
      </w:r>
      <w:r>
        <w:t xml:space="preserve">2. avance para modelos mais expressivos;</w:t>
      </w:r>
      <w:r>
        <w:t xml:space="preserve"> </w:t>
      </w:r>
      <w:r>
        <w:t xml:space="preserve">3. compare sempre matriz de confusão e métricas no conjunto de teste.</w:t>
      </w:r>
      <w:r>
        <w:t xml:space="preserve"> </w:t>
      </w:r>
      <w:r>
        <w:t xml:space="preserve">Assim, o ganho de desempenho fica conectado ao custo de complexidade.</w:t>
      </w:r>
    </w:p>
    <w:bookmarkEnd w:id="21"/>
    <w:bookmarkStart w:id="23" w:name="configuração"/>
    <w:p>
      <w:pPr>
        <w:pStyle w:val="Heading2"/>
      </w:pPr>
      <w:r>
        <w:t xml:space="preserve">Configuração</w:t>
      </w:r>
    </w:p>
    <w:p>
      <w:pPr>
        <w:pStyle w:val="FirstParagraph"/>
      </w:pPr>
      <w:r>
        <w:t xml:space="preserve">Esta seção prepara os dados e define dois helpers centrais: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eval_model()</w:t>
      </w:r>
      <w:r>
        <w:t xml:space="preserve">: executa predição e avaliação de forma robusta para diferentes formatos de saída dos modelos;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pred_to_label()</w:t>
      </w:r>
      <w:r>
        <w:t xml:space="preserve">: converte saídas de predição em rótulos, facilitando matriz de confusão e comparação entre modelos.</w:t>
      </w:r>
    </w:p>
    <w:bookmarkStart w:id="22" w:name="como-funciona-o-eval_model"/>
    <w:p>
      <w:pPr>
        <w:pStyle w:val="Heading3"/>
      </w:pPr>
      <w:r>
        <w:t xml:space="preserve">Como funciona o</w:t>
      </w:r>
      <w:r>
        <w:t xml:space="preserve"> </w:t>
      </w:r>
      <w:r>
        <w:rPr>
          <w:rStyle w:val="VerbatimChar"/>
        </w:rPr>
        <w:t xml:space="preserve">eval_model()</w:t>
      </w:r>
    </w:p>
    <w:p>
      <w:pPr>
        <w:pStyle w:val="FirstParagraph"/>
      </w:pPr>
      <w:r>
        <w:t xml:space="preserve">O helper resolve um problema comum em aulas práticas: cada algoritmo pode retornar predições em formato diferente (vetor de classe, fator ou matriz de probabilidades).</w:t>
      </w:r>
      <w:r>
        <w:t xml:space="preserve"> </w:t>
      </w:r>
      <w:r>
        <w:t xml:space="preserve">O fluxo interno é:</w:t>
      </w:r>
      <w:r>
        <w:t xml:space="preserve"> </w:t>
      </w:r>
      <w:r>
        <w:t xml:space="preserve">1. padronizar o alvo real com</w:t>
      </w:r>
      <w:r>
        <w:t xml:space="preserve"> </w:t>
      </w:r>
      <w:r>
        <w:rPr>
          <w:rStyle w:val="VerbatimChar"/>
        </w:rPr>
        <w:t xml:space="preserve">adjust_class_label()</w:t>
      </w:r>
      <w:r>
        <w:t xml:space="preserve">;</w:t>
      </w:r>
      <w:r>
        <w:t xml:space="preserve"> </w:t>
      </w:r>
      <w:r>
        <w:t xml:space="preserve">2. tentar avaliação direta com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;</w:t>
      </w:r>
      <w:r>
        <w:t xml:space="preserve"> </w:t>
      </w:r>
      <w:r>
        <w:t xml:space="preserve">3. se falhar, reconstruir a predição em formato compatível;</w:t>
      </w:r>
      <w:r>
        <w:t xml:space="preserve"> </w:t>
      </w:r>
      <w:r>
        <w:t xml:space="preserve">4. avaliar treino e teste com o mesmo protocolo.</w:t>
      </w:r>
      <w:r>
        <w:t xml:space="preserve"> </w:t>
      </w:r>
      <w:r>
        <w:t xml:space="preserve">Assim, a comparação entre modelos fica consistente e reproduzível.</w:t>
      </w:r>
    </w:p>
    <w:p>
      <w:pPr>
        <w:pStyle w:val="SourceCode"/>
      </w:pPr>
      <w:r>
        <w:rPr>
          <w:rStyle w:val="CommentTok"/>
        </w:rPr>
        <w:t xml:space="preserve"># Slides 1–3: contexto e definição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CommentTok"/>
        </w:rPr>
        <w:t xml:space="preserve"># Slides 9: conjunto de dados de exemplo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SourceCode"/>
      </w:pPr>
      <w:r>
        <w:rPr>
          <w:rStyle w:val="CommentTok"/>
        </w:rPr>
        <w:t xml:space="preserve"># Preparacao treino/teste (usado nos exemplos)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(split_random,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Distribuicao das classes</w:t>
      </w:r>
      <w:r>
        <w:br/>
      </w:r>
      <w:r>
        <w:rPr>
          <w:rStyle w:val="NormalTok"/>
        </w:rPr>
        <w:t xml:space="preserve">class_tbl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(class_tbl)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"treino"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class_tbl</w:t>
      </w:r>
    </w:p>
    <w:p>
      <w:pPr>
        <w:pStyle w:val="SourceCode"/>
      </w:pPr>
      <w:r>
        <w:rPr>
          <w:rStyle w:val="VerbatimChar"/>
        </w:rPr>
        <w:t xml:space="preserve">##        setosa versicolor virginica</w:t>
      </w:r>
      <w:r>
        <w:br/>
      </w:r>
      <w:r>
        <w:rPr>
          <w:rStyle w:val="VerbatimChar"/>
        </w:rPr>
        <w:t xml:space="preserve">## dados      50         50        50</w:t>
      </w:r>
      <w:r>
        <w:br/>
      </w:r>
      <w:r>
        <w:rPr>
          <w:rStyle w:val="VerbatimChar"/>
        </w:rPr>
        <w:t xml:space="preserve">## treino     39         38        43</w:t>
      </w:r>
      <w:r>
        <w:br/>
      </w:r>
      <w:r>
        <w:rPr>
          <w:rStyle w:val="VerbatimChar"/>
        </w:rPr>
        <w:t xml:space="preserve">## teste      11         12         7</w:t>
      </w:r>
    </w:p>
    <w:p>
      <w:pPr>
        <w:pStyle w:val="SourceCode"/>
      </w:pPr>
      <w:r>
        <w:rPr>
          <w:rStyle w:val="CommentTok"/>
        </w:rPr>
        <w:t xml:space="preserve"># Helper: avaliacao padrao DALToolbox</w:t>
      </w:r>
      <w:r>
        <w:br/>
      </w:r>
      <w:r>
        <w:rPr>
          <w:rStyle w:val="CommentTok"/>
        </w:rPr>
        <w:t xml:space="preserve"># Slides 21–25: avaliacao</w:t>
      </w:r>
      <w:r>
        <w:br/>
      </w:r>
      <w:r>
        <w:br/>
      </w:r>
      <w:r>
        <w:rPr>
          <w:rStyle w:val="NormalTok"/>
        </w:rPr>
        <w:t xml:space="preserve">eval_model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train, test, target_col) {</w:t>
      </w:r>
      <w:r>
        <w:br/>
      </w:r>
      <w:r>
        <w:rPr>
          <w:rStyle w:val="NormalTok"/>
        </w:rPr>
        <w:t xml:space="preserve">  evaluate_safe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prediction, target_col)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Padroniza o alvo real no formato esperado pelo avaliador</w:t>
      </w:r>
      <w:r>
        <w:br/>
      </w:r>
      <w:r>
        <w:rPr>
          <w:rStyle w:val="NormalTok"/>
        </w:rPr>
        <w:t xml:space="preserve">    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(data[, target_col])</w:t>
      </w:r>
      <w:r>
        <w:br/>
      </w:r>
      <w:r>
        <w:rPr>
          <w:rStyle w:val="NormalTok"/>
        </w:rPr>
        <w:t xml:space="preserve">    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predictand, prediction)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Caminho alternativo para modelos cuja saida nao e aceita diretamente por evaluate()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(eval)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 {</w:t>
      </w:r>
      <w:r>
        <w:br/>
      </w:r>
      <w:r>
        <w:rPr>
          <w:rStyle w:val="NormalTok"/>
        </w:rPr>
        <w:t xml:space="preserve">      proxy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classification</w:t>
      </w:r>
      <w:r>
        <w:rPr>
          <w:rStyle w:val="NormalTok"/>
        </w:rPr>
        <w:t xml:space="preserve">(target_col,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Caso 1: saida em rótulos (vetor/fator)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(prediction)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(prediction)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is.vector</w:t>
      </w:r>
      <w:r>
        <w:rPr>
          <w:rStyle w:val="NormalTok"/>
        </w:rPr>
        <w:t xml:space="preserve">(prediction)) {</w:t>
      </w:r>
      <w:r>
        <w:br/>
      </w:r>
      <w:r>
        <w:rPr>
          <w:rStyle w:val="NormalTok"/>
        </w:rPr>
        <w:t xml:space="preserve">    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(predictand))</w:t>
      </w:r>
      <w:r>
        <w:br/>
      </w:r>
      <w:r>
        <w:rPr>
          <w:rStyle w:val="NormalTok"/>
        </w:rPr>
        <w:t xml:space="preserve">      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(pred)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Caso 2: saida matricial (probabilidades ou escores)</w:t>
      </w:r>
      <w:r>
        <w:br/>
      </w:r>
      <w:r>
        <w:rPr>
          <w:rStyle w:val="NormalTok"/>
        </w:rPr>
        <w:t xml:space="preserve">      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(prediction)))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(prediction))]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Alinha colunas previstas com as colunas reais para evitar desalinhamento de classes</w:t>
      </w:r>
      <w:r>
        <w:br/>
      </w:r>
      <w:r>
        <w:rPr>
          <w:rStyle w:val="NormalTok"/>
        </w:rPr>
        <w:t xml:space="preserve">        aligned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(prediction),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(predictand))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(aligned)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</w:t>
      </w:r>
      <w:r>
        <w:br/>
      </w:r>
      <w:r>
        <w:rPr>
          <w:rStyle w:val="NormalTok"/>
        </w:rPr>
        <w:t xml:space="preserve">        common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(predictand))</w:t>
      </w:r>
      <w:r>
        <w:br/>
      </w:r>
      <w:r>
        <w:rPr>
          <w:rStyle w:val="NormalTok"/>
        </w:rPr>
        <w:t xml:space="preserve">        aligned[, common]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prediction[, common,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aligned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(proxy, predictand, prediction)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eval =</w:t>
      </w:r>
      <w:r>
        <w:rPr>
          <w:rStyle w:val="NormalTok"/>
        </w:rPr>
        <w:t xml:space="preserve"> eval, </w:t>
      </w:r>
      <w:r>
        <w:rPr>
          <w:rStyle w:val="AttributeTok"/>
        </w:rPr>
        <w:t xml:space="preserve">predictand =</w:t>
      </w:r>
      <w:r>
        <w:rPr>
          <w:rStyle w:val="NormalTok"/>
        </w:rPr>
        <w:t xml:space="preserve"> predictand)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train)</w:t>
      </w:r>
      <w:r>
        <w:br/>
      </w:r>
      <w:r>
        <w:rPr>
          <w:rStyle w:val="NormalTok"/>
        </w:rPr>
        <w:t xml:space="preserve">  train_res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evaluate_safe</w:t>
      </w:r>
      <w:r>
        <w:rPr>
          <w:rStyle w:val="NormalTok"/>
        </w:rPr>
        <w:t xml:space="preserve">(train, train_prediction, target_col)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  <w:r>
        <w:br/>
      </w:r>
      <w:r>
        <w:br/>
      </w:r>
      <w:r>
        <w:rPr>
          <w:rStyle w:val="NormalTok"/>
        </w:rPr>
        <w:t xml:space="preserve">  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test)</w:t>
      </w:r>
      <w:r>
        <w:br/>
      </w:r>
      <w:r>
        <w:rPr>
          <w:rStyle w:val="NormalTok"/>
        </w:rPr>
        <w:t xml:space="preserve">  test_res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evaluate_safe</w:t>
      </w:r>
      <w:r>
        <w:rPr>
          <w:rStyle w:val="NormalTok"/>
        </w:rPr>
        <w:t xml:space="preserve">(test, test_prediction, target_col)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train_prediction =</w:t>
      </w:r>
      <w:r>
        <w:rPr>
          <w:rStyle w:val="NormalTok"/>
        </w:rPr>
        <w:t xml:space="preserve"> train_prediction,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train_predictand =</w:t>
      </w:r>
      <w:r>
        <w:rPr>
          <w:rStyle w:val="NormalTok"/>
        </w:rPr>
        <w:t xml:space="preserve"> train_res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predictand,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test_prediction =</w:t>
      </w:r>
      <w:r>
        <w:rPr>
          <w:rStyle w:val="NormalTok"/>
        </w:rPr>
        <w:t xml:space="preserve"> test_prediction,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test_predictand =</w:t>
      </w:r>
      <w:r>
        <w:rPr>
          <w:rStyle w:val="NormalTok"/>
        </w:rPr>
        <w:t xml:space="preserve"> test_res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predictand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pred_to_label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(pred)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Converte probabilidades/scores em classe vencedora (argmax por linha)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is.data.frame</w:t>
      </w:r>
      <w:r>
        <w:rPr>
          <w:rStyle w:val="NormalTok"/>
        </w:rPr>
        <w:t xml:space="preserve">(pred)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is.matrix</w:t>
      </w:r>
      <w:r>
        <w:rPr>
          <w:rStyle w:val="NormalTok"/>
        </w:rPr>
        <w:t xml:space="preserve">(pred))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(pred)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(cols))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(pred))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(pred,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(r) cols[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(r)]))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is.list</w:t>
      </w:r>
      <w:r>
        <w:rPr>
          <w:rStyle w:val="NormalTok"/>
        </w:rPr>
        <w:t xml:space="preserve">(pred))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(pred))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(pred)</w:t>
      </w:r>
      <w:r>
        <w:br/>
      </w:r>
      <w:r>
        <w:rPr>
          <w:rStyle w:val="NormalTok"/>
        </w:rPr>
        <w:t xml:space="preserve">}</w:t>
      </w:r>
    </w:p>
    <w:bookmarkEnd w:id="22"/>
    <w:bookmarkEnd w:id="23"/>
    <w:bookmarkStart w:id="24" w:name="regra-zero-baseline"/>
    <w:p>
      <w:pPr>
        <w:pStyle w:val="Heading2"/>
      </w:pPr>
      <w:r>
        <w:t xml:space="preserve">Regra Zero (Baseline)</w:t>
      </w:r>
    </w:p>
    <w:p>
      <w:pPr>
        <w:pStyle w:val="FirstParagraph"/>
      </w:pPr>
      <w:r>
        <w:t xml:space="preserve">A Regra Zero define uma referência mínima de desempenho, sempre prevendo a classe majoritária. Qualquer modelo útil deve superar esse baseline.</w:t>
      </w:r>
      <w:r>
        <w:br/>
      </w:r>
      <w:r>
        <w:t xml:space="preserve">Slides: 10.</w:t>
      </w:r>
    </w:p>
    <w:p>
      <w:pPr>
        <w:pStyle w:val="SourceCode"/>
      </w:pPr>
      <w:r>
        <w:rPr>
          <w:rStyle w:val="CommentTok"/>
        </w:rPr>
        <w:t xml:space="preserve"># Slides 10: Regra Zero (baseline)</w:t>
      </w:r>
      <w:r>
        <w:br/>
      </w:r>
      <w:r>
        <w:rPr>
          <w:rStyle w:val="NormalTok"/>
        </w:rPr>
        <w:t xml:space="preserve">model_majority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model_majority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(model_majority, iris_train)</w:t>
      </w:r>
      <w:r>
        <w:br/>
      </w:r>
      <w:r>
        <w:rPr>
          <w:rStyle w:val="NormalTok"/>
        </w:rPr>
        <w:t xml:space="preserve">res_majority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(model_majority,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0.3583333  0 81  0 39       NaN      0           0           1 NaN</w:t>
      </w:r>
      <w:r>
        <w:br/>
      </w: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0.2333333  0 19  0 11       NaN      0           0           1 NaN</w:t>
      </w:r>
    </w:p>
    <w:bookmarkEnd w:id="24"/>
    <w:bookmarkStart w:id="26" w:name="árvores-de-decisão"/>
    <w:p>
      <w:pPr>
        <w:pStyle w:val="Heading2"/>
      </w:pPr>
      <w:r>
        <w:t xml:space="preserve">Árvores de Decisão</w:t>
      </w:r>
    </w:p>
    <w:p>
      <w:pPr>
        <w:pStyle w:val="FirstParagraph"/>
      </w:pPr>
      <w:r>
        <w:t xml:space="preserve">Árvores de decisão particionam o espaço de atributos recursivamente usando critérios como ganho de informação, produzindo modelos interpretáveis.</w:t>
      </w:r>
      <w:r>
        <w:br/>
      </w:r>
      <w:r>
        <w:t xml:space="preserve">Slides: 11–20.</w:t>
      </w:r>
    </w:p>
    <w:p>
      <w:pPr>
        <w:pStyle w:val="SourceCode"/>
      </w:pPr>
      <w:r>
        <w:rPr>
          <w:rStyle w:val="CommentTok"/>
        </w:rPr>
        <w:t xml:space="preserve"># Slides 11–20: Arvore de Decisao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(model_dtree, iris_train)</w:t>
      </w:r>
      <w:r>
        <w:br/>
      </w:r>
      <w:r>
        <w:rPr>
          <w:rStyle w:val="NormalTok"/>
        </w:rPr>
        <w:t xml:space="preserve">res_dtree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(model_dtree,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bookmarkStart w:id="25" w:name="matriz-de-confusão"/>
    <w:p>
      <w:pPr>
        <w:pStyle w:val="Heading3"/>
      </w:pPr>
      <w:r>
        <w:t xml:space="preserve">Matriz de Confusão</w:t>
      </w:r>
    </w:p>
    <w:p>
      <w:pPr>
        <w:pStyle w:val="FirstParagraph"/>
      </w:pPr>
      <w:r>
        <w:t xml:space="preserve">A matriz de confusão permite analisar erros específicos de classificação e derivar métricas como precisão e revocação.</w:t>
      </w:r>
      <w:r>
        <w:br/>
      </w:r>
      <w:r>
        <w:t xml:space="preserve">Slides: 23–25.</w:t>
      </w:r>
    </w:p>
    <w:p>
      <w:pPr>
        <w:pStyle w:val="SourceCode"/>
      </w:pPr>
      <w:r>
        <w:rPr>
          <w:rStyle w:val="CommentTok"/>
        </w:rPr>
        <w:t xml:space="preserve"># Slides 21–25: avaliacao e matriz de confusao (exemplo com arvore)</w:t>
      </w:r>
      <w:r>
        <w:br/>
      </w:r>
      <w:r>
        <w:rPr>
          <w:rStyle w:val="CommentTok"/>
        </w:rPr>
        <w:t xml:space="preserve"># predict() pode retornar data.frame; usar vetor para a tabela</w:t>
      </w:r>
      <w:r>
        <w:br/>
      </w:r>
      <w:r>
        <w:rPr>
          <w:rStyle w:val="NormalTok"/>
        </w:rPr>
        <w:t xml:space="preserve">conf_dtree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pred_to_label</w:t>
      </w:r>
      <w:r>
        <w:rPr>
          <w:rStyle w:val="NormalTok"/>
        </w:rPr>
        <w:t xml:space="preserve">(res_dtree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test_prediction),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pred_to_label</w:t>
      </w:r>
      <w:r>
        <w:rPr>
          <w:rStyle w:val="NormalTok"/>
        </w:rPr>
        <w:t xml:space="preserve">(res_dtree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test_predictand)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conf_dtree</w:t>
      </w:r>
    </w:p>
    <w:p>
      <w:pPr>
        <w:pStyle w:val="SourceCode"/>
      </w:pPr>
      <w:r>
        <w:rPr>
          <w:rStyle w:val="VerbatimChar"/>
        </w:rPr>
        <w:t xml:space="preserve">##             Actual</w:t>
      </w:r>
      <w:r>
        <w:br/>
      </w:r>
      <w:r>
        <w:rPr>
          <w:rStyle w:val="VerbatimChar"/>
        </w:rPr>
        <w:t xml:space="preserve">## Pred         setosa versicolor virginica</w:t>
      </w:r>
      <w:r>
        <w:br/>
      </w:r>
      <w:r>
        <w:rPr>
          <w:rStyle w:val="VerbatimChar"/>
        </w:rPr>
        <w:t xml:space="preserve">##   setosa         11          0         0</w:t>
      </w:r>
      <w:r>
        <w:br/>
      </w:r>
      <w:r>
        <w:rPr>
          <w:rStyle w:val="VerbatimChar"/>
        </w:rPr>
        <w:t xml:space="preserve">##   versicolor      0         12         1</w:t>
      </w:r>
      <w:r>
        <w:br/>
      </w:r>
      <w:r>
        <w:rPr>
          <w:rStyle w:val="VerbatimChar"/>
        </w:rPr>
        <w:t xml:space="preserve">##   virginica       0          0         6</w:t>
      </w:r>
    </w:p>
    <w:bookmarkEnd w:id="25"/>
    <w:bookmarkEnd w:id="26"/>
    <w:bookmarkStart w:id="27" w:name="classificação-bayesiana"/>
    <w:p>
      <w:pPr>
        <w:pStyle w:val="Heading2"/>
      </w:pPr>
      <w:r>
        <w:t xml:space="preserve">Classificação Bayesiana</w:t>
      </w:r>
    </w:p>
    <w:p>
      <w:pPr>
        <w:pStyle w:val="FirstParagraph"/>
      </w:pPr>
      <w:r>
        <w:t xml:space="preserve">Naive Bayes assume independência condicional entre atributos. Apesar da suposição forte, tende a ser eficiente e competitivo em diversos cenários.</w:t>
      </w:r>
      <w:r>
        <w:br/>
      </w:r>
      <w:r>
        <w:t xml:space="preserve">Slides: 33–40.</w:t>
      </w:r>
    </w:p>
    <w:p>
      <w:pPr>
        <w:pStyle w:val="SourceCode"/>
      </w:pPr>
      <w:r>
        <w:rPr>
          <w:rStyle w:val="CommentTok"/>
        </w:rPr>
        <w:t xml:space="preserve"># Slides 33–40: Naive Bayes</w:t>
      </w:r>
      <w:r>
        <w:br/>
      </w:r>
      <w:r>
        <w:rPr>
          <w:rStyle w:val="NormalTok"/>
        </w:rPr>
        <w:t xml:space="preserve">model_nb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(model_nb, iris_train)</w:t>
      </w:r>
      <w:r>
        <w:br/>
      </w:r>
      <w:r>
        <w:rPr>
          <w:rStyle w:val="NormalTok"/>
        </w:rPr>
        <w:t xml:space="preserve">res_nb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(model_nb,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0.9583333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bookmarkEnd w:id="27"/>
    <w:bookmarkStart w:id="28" w:name="regressão-logística"/>
    <w:p>
      <w:pPr>
        <w:pStyle w:val="Heading2"/>
      </w:pPr>
      <w:r>
        <w:t xml:space="preserve">Regressão Logística</w:t>
      </w:r>
    </w:p>
    <w:p>
      <w:pPr>
        <w:pStyle w:val="FirstParagraph"/>
      </w:pPr>
      <w:r>
        <w:t xml:space="preserve">Modela a probabilidade de pertencimento a uma classe via função logística. Aqui, reduzimos para um problema binário (versicolor vs. não-versicolor), comparando modelo completo e simplificado.</w:t>
      </w:r>
      <w:r>
        <w:br/>
      </w:r>
      <w:r>
        <w:t xml:space="preserve">Slides: 41–47.</w:t>
      </w:r>
    </w:p>
    <w:p>
      <w:pPr>
        <w:pStyle w:val="BodyText"/>
      </w:pPr>
      <w:r>
        <w:t xml:space="preserve">Leitura didática desta seção:</w:t>
      </w:r>
      <w:r>
        <w:t xml:space="preserve"> </w:t>
      </w:r>
      <w:r>
        <w:t xml:space="preserve">1. o modelo completo tende a capturar mais sinal;</w:t>
      </w:r>
      <w:r>
        <w:t xml:space="preserve"> </w:t>
      </w:r>
      <w:r>
        <w:t xml:space="preserve">2. o modelo simplificado testa se menos variáveis mantêm desempenho;</w:t>
      </w:r>
      <w:r>
        <w:t xml:space="preserve"> </w:t>
      </w:r>
      <w:r>
        <w:t xml:space="preserve">3. a matriz de confusão mostra onde ocorre perda/ganho por simplificação.</w:t>
      </w:r>
    </w:p>
    <w:p>
      <w:pPr>
        <w:pStyle w:val="SourceCode"/>
      </w:pPr>
      <w:r>
        <w:rPr>
          <w:rStyle w:val="CommentTok"/>
        </w:rPr>
        <w:t xml:space="preserve"># Slides 41–47: Regressao Logistica (versicolor vs nao-versicolor)</w:t>
      </w:r>
      <w:r>
        <w:br/>
      </w:r>
      <w:r>
        <w:rPr>
          <w:rStyle w:val="CommentTok"/>
        </w:rPr>
        <w:t xml:space="preserve"># Problema binario</w:t>
      </w:r>
      <w:r>
        <w:br/>
      </w:r>
      <w:r>
        <w:rPr>
          <w:rStyle w:val="NormalTok"/>
        </w:rPr>
        <w:t xml:space="preserve">fg_bin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IsVersicolor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iris_bin_train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(fg_bin, iris_train)</w:t>
      </w:r>
      <w:r>
        <w:br/>
      </w:r>
      <w:r>
        <w:rPr>
          <w:rStyle w:val="NormalTok"/>
        </w:rPr>
        <w:t xml:space="preserve">iris_bin_test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(fg_bin, iris_test)</w:t>
      </w:r>
      <w:r>
        <w:br/>
      </w:r>
      <w:r>
        <w:rPr>
          <w:rStyle w:val="NormalTok"/>
        </w:rPr>
        <w:t xml:space="preserve">iris_bin_train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(iris_bin_train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rPr>
          <w:rStyle w:val="NormalTok"/>
        </w:rPr>
        <w:t xml:space="preserve">iris_bin_test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(iris_bin_test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br/>
      </w:r>
      <w:r>
        <w:rPr>
          <w:rStyle w:val="CommentTok"/>
        </w:rPr>
        <w:t xml:space="preserve"># Modelo completo</w:t>
      </w:r>
      <w:r>
        <w:br/>
      </w:r>
      <w:r>
        <w:rPr>
          <w:rStyle w:val="NormalTok"/>
        </w:rPr>
        <w:t xml:space="preserve">model_glm_full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model_glm_full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(model_glm_full, iris_bin_train)</w:t>
      </w:r>
      <w:r>
        <w:br/>
      </w:r>
      <w:r>
        <w:rPr>
          <w:rStyle w:val="NormalTok"/>
        </w:rPr>
        <w:t xml:space="preserve">res_glm_full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(model_glm_full, iris_bin_train, iris_bin_test,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accuracy TP TN FP FN precision    recall sensitivity specificity        f1</w:t>
      </w:r>
      <w:r>
        <w:br/>
      </w:r>
      <w:r>
        <w:rPr>
          <w:rStyle w:val="VerbatimChar"/>
        </w:rPr>
        <w:t xml:space="preserve">## 1 0.7583333 73 18 20  9 0.7849462 0.8902439   0.8902439   0.4736842 0.8342857</w:t>
      </w:r>
      <w:r>
        <w:br/>
      </w:r>
      <w:r>
        <w:rPr>
          <w:rStyle w:val="VerbatimChar"/>
        </w:rPr>
        <w:t xml:space="preserve">##    accuracy TP TN FP FN precision    recall sensitivity specificity        f1</w:t>
      </w:r>
      <w:r>
        <w:br/>
      </w:r>
      <w:r>
        <w:rPr>
          <w:rStyle w:val="VerbatimChar"/>
        </w:rPr>
        <w:t xml:space="preserve">## 1 0.6666667 16  4  8  2 0.6666667 0.8888889   0.8888889   0.3333333 0.7619048</w:t>
      </w:r>
    </w:p>
    <w:p>
      <w:pPr>
        <w:pStyle w:val="SourceCode"/>
      </w:pPr>
      <w:r>
        <w:rPr>
          <w:rStyle w:val="NormalTok"/>
        </w:rPr>
        <w:t xml:space="preserve">conf_full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pred_to_label</w:t>
      </w:r>
      <w:r>
        <w:rPr>
          <w:rStyle w:val="NormalTok"/>
        </w:rPr>
        <w:t xml:space="preserve">(res_glm_full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test_prediction),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pred_to_label</w:t>
      </w:r>
      <w:r>
        <w:rPr>
          <w:rStyle w:val="NormalTok"/>
        </w:rPr>
        <w:t xml:space="preserve">(res_glm_full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test_predictand)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conf_full</w:t>
      </w:r>
    </w:p>
    <w:p>
      <w:pPr>
        <w:pStyle w:val="SourceCode"/>
      </w:pPr>
      <w:r>
        <w:rPr>
          <w:rStyle w:val="VerbatimChar"/>
        </w:rPr>
        <w:t xml:space="preserve">##                 Actual</w:t>
      </w:r>
      <w:r>
        <w:br/>
      </w:r>
      <w:r>
        <w:rPr>
          <w:rStyle w:val="VerbatimChar"/>
        </w:rPr>
        <w:t xml:space="preserve">## Pred             not_versicolor versicolor</w:t>
      </w:r>
      <w:r>
        <w:br/>
      </w:r>
      <w:r>
        <w:rPr>
          <w:rStyle w:val="VerbatimChar"/>
        </w:rPr>
        <w:t xml:space="preserve">##   not_versicolor             16          8</w:t>
      </w:r>
      <w:r>
        <w:br/>
      </w:r>
      <w:r>
        <w:rPr>
          <w:rStyle w:val="VerbatimChar"/>
        </w:rPr>
        <w:t xml:space="preserve">##   versicolor                  2          4</w:t>
      </w:r>
    </w:p>
    <w:p>
      <w:pPr>
        <w:pStyle w:val="SourceCode"/>
      </w:pPr>
      <w:r>
        <w:rPr>
          <w:rStyle w:val="CommentTok"/>
        </w:rPr>
        <w:t xml:space="preserve"># Modelo simplificado (petal length/width)</w:t>
      </w:r>
      <w:r>
        <w:br/>
      </w:r>
      <w:r>
        <w:rPr>
          <w:rStyle w:val="NormalTok"/>
        </w:rPr>
        <w:t xml:space="preserve">model_glm_simple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features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model_glm_simple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(model_glm_simple, iris_bin_train)</w:t>
      </w:r>
      <w:r>
        <w:br/>
      </w:r>
      <w:r>
        <w:rPr>
          <w:rStyle w:val="NormalTok"/>
        </w:rPr>
        <w:t xml:space="preserve">res_glm_simple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(model_glm_simple, iris_bin_train, iris_bin_test,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   recall sensitivity specificity        f1</w:t>
      </w:r>
      <w:r>
        <w:br/>
      </w:r>
      <w:r>
        <w:rPr>
          <w:rStyle w:val="VerbatimChar"/>
        </w:rPr>
        <w:t xml:space="preserve">## 1    0.625 69  6 32 13 0.6831683 0.8414634   0.8414634   0.1578947 0.7540984</w:t>
      </w:r>
      <w:r>
        <w:br/>
      </w:r>
      <w:r>
        <w:rPr>
          <w:rStyle w:val="VerbatimChar"/>
        </w:rPr>
        <w:t xml:space="preserve">##    accuracy TP TN FP FN precision    recall sensitivity specificity        f1</w:t>
      </w:r>
      <w:r>
        <w:br/>
      </w:r>
      <w:r>
        <w:rPr>
          <w:rStyle w:val="VerbatimChar"/>
        </w:rPr>
        <w:t xml:space="preserve">## 1 0.5666667 17  0 12  1 0.5862069 0.9444444   0.9444444           0 0.7234043</w:t>
      </w:r>
    </w:p>
    <w:p>
      <w:pPr>
        <w:pStyle w:val="SourceCode"/>
      </w:pPr>
      <w:r>
        <w:rPr>
          <w:rStyle w:val="NormalTok"/>
        </w:rPr>
        <w:t xml:space="preserve">conf_simple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pred_to_label</w:t>
      </w:r>
      <w:r>
        <w:rPr>
          <w:rStyle w:val="NormalTok"/>
        </w:rPr>
        <w:t xml:space="preserve">(res_glm_simple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test_prediction),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pred_to_label</w:t>
      </w:r>
      <w:r>
        <w:rPr>
          <w:rStyle w:val="NormalTok"/>
        </w:rPr>
        <w:t xml:space="preserve">(res_glm_simple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test_predictand)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conf_simple</w:t>
      </w:r>
    </w:p>
    <w:p>
      <w:pPr>
        <w:pStyle w:val="SourceCode"/>
      </w:pPr>
      <w:r>
        <w:rPr>
          <w:rStyle w:val="VerbatimChar"/>
        </w:rPr>
        <w:t xml:space="preserve">##                 Actual</w:t>
      </w:r>
      <w:r>
        <w:br/>
      </w:r>
      <w:r>
        <w:rPr>
          <w:rStyle w:val="VerbatimChar"/>
        </w:rPr>
        <w:t xml:space="preserve">## Pred             not_versicolor versicolor</w:t>
      </w:r>
      <w:r>
        <w:br/>
      </w:r>
      <w:r>
        <w:rPr>
          <w:rStyle w:val="VerbatimChar"/>
        </w:rPr>
        <w:t xml:space="preserve">##   not_versicolor             17         12</w:t>
      </w:r>
      <w:r>
        <w:br/>
      </w:r>
      <w:r>
        <w:rPr>
          <w:rStyle w:val="VerbatimChar"/>
        </w:rPr>
        <w:t xml:space="preserve">##   versicolor                  1          0</w:t>
      </w:r>
    </w:p>
    <w:bookmarkEnd w:id="28"/>
    <w:bookmarkStart w:id="29" w:name="k-nn-aprendizagem-preguiçosa"/>
    <w:p>
      <w:pPr>
        <w:pStyle w:val="Heading2"/>
      </w:pPr>
      <w:r>
        <w:t xml:space="preserve">k-NN (Aprendizagem Preguiçosa)</w:t>
      </w:r>
    </w:p>
    <w:p>
      <w:pPr>
        <w:pStyle w:val="FirstParagraph"/>
      </w:pPr>
      <w:r>
        <w:t xml:space="preserve">Métodos baseados em instâncias adiam o processamento para a fase de predição. O k-NN decide pela maioria dos k vizinhos mais próximos.</w:t>
      </w:r>
      <w:r>
        <w:br/>
      </w:r>
      <w:r>
        <w:t xml:space="preserve">Slides: 48–53.</w:t>
      </w:r>
    </w:p>
    <w:p>
      <w:pPr>
        <w:pStyle w:val="SourceCode"/>
      </w:pPr>
      <w:r>
        <w:rPr>
          <w:rStyle w:val="CommentTok"/>
        </w:rPr>
        <w:t xml:space="preserve"># Slides 48–53: Aprendizagem preguiçosa (k-NN)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(model_knn, iris_train)</w:t>
      </w:r>
      <w:r>
        <w:br/>
      </w:r>
      <w:r>
        <w:rPr>
          <w:rStyle w:val="NormalTok"/>
        </w:rPr>
        <w:t xml:space="preserve">res_knn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eval_model</w:t>
      </w:r>
      <w:r>
        <w:rPr>
          <w:rStyle w:val="NormalTok"/>
        </w:rPr>
        <w:t xml:space="preserve">(model_knn, iris_train, iris_test,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  <w:r>
        <w:br/>
      </w: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bookmarkEnd w:id="29"/>
    <w:bookmarkStart w:id="30" w:name="próxima-aula"/>
    <w:p>
      <w:pPr>
        <w:pStyle w:val="Heading2"/>
      </w:pPr>
      <w:r>
        <w:t xml:space="preserve">Próxima Aula</w:t>
      </w:r>
    </w:p>
    <w:p>
      <w:pPr>
        <w:pStyle w:val="FirstParagraph"/>
      </w:pPr>
      <w:r>
        <w:t xml:space="preserve">Métodos avançados (SVM, ensembles, boosting, tuning e seleção de atributos) foram concentrados em</w:t>
      </w:r>
      <w:r>
        <w:t xml:space="preserve"> </w:t>
      </w:r>
      <w:r>
        <w:rPr>
          <w:rStyle w:val="VerbatimChar"/>
        </w:rPr>
        <w:t xml:space="preserve">08-Classification-Advanced.Rmd</w:t>
      </w:r>
      <w:r>
        <w:t xml:space="preserve"> </w:t>
      </w:r>
      <w:r>
        <w:t xml:space="preserve">para evitar repetição e manter a progressão didática.</w:t>
      </w:r>
    </w:p>
    <w:bookmarkEnd w:id="30"/>
    <w:bookmarkStart w:id="3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Han, J., Pei, J., &amp; Tong, H. (2022).</w:t>
      </w:r>
      <w:r>
        <w:t xml:space="preserve"> </w:t>
      </w:r>
      <w:r>
        <w:rPr>
          <w:i/>
          <w:iCs/>
        </w:rPr>
        <w:t xml:space="preserve">Data Mining: Concepts and Techniques</w:t>
      </w:r>
      <w:r>
        <w:t xml:space="preserve"> </w:t>
      </w:r>
      <w:r>
        <w:t xml:space="preserve">(4th ed.). Morgan Kaufmann.</w:t>
      </w:r>
    </w:p>
    <w:p>
      <w:pPr>
        <w:pStyle w:val="Compact"/>
        <w:numPr>
          <w:ilvl w:val="0"/>
          <w:numId w:val="1001"/>
        </w:numPr>
      </w:pPr>
      <w:r>
        <w:t xml:space="preserve">Mitchell, T. (1997).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p>
      <w:pPr>
        <w:pStyle w:val="Compact"/>
        <w:numPr>
          <w:ilvl w:val="0"/>
          <w:numId w:val="1001"/>
        </w:numPr>
      </w:pPr>
      <w:r>
        <w:t xml:space="preserve">Bishop, C. M. (2006).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Cortes, C., &amp; Vapnik, V. (1995). Support-Vector Networks.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20(3), 273–297.</w:t>
      </w:r>
    </w:p>
    <w:p>
      <w:pPr>
        <w:pStyle w:val="Compact"/>
        <w:numPr>
          <w:ilvl w:val="0"/>
          <w:numId w:val="1001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Compact"/>
        <w:numPr>
          <w:ilvl w:val="0"/>
          <w:numId w:val="1001"/>
        </w:numPr>
      </w:pPr>
      <w:r>
        <w:t xml:space="preserve">Cover, T., &amp; Hart, P. (1967). Nearest neighbor pattern classification.</w:t>
      </w:r>
      <w:r>
        <w:t xml:space="preserve"> </w:t>
      </w:r>
      <w:r>
        <w:rPr>
          <w:i/>
          <w:iCs/>
        </w:rPr>
        <w:t xml:space="preserve">IEEE Trans. Information Theory</w:t>
      </w:r>
      <w:r>
        <w:t xml:space="preserve">, 13(1), 21–27.</w:t>
      </w:r>
    </w:p>
    <w:p>
      <w:pPr>
        <w:pStyle w:val="Compact"/>
        <w:numPr>
          <w:ilvl w:val="0"/>
          <w:numId w:val="1001"/>
        </w:numPr>
      </w:pPr>
      <w:r>
        <w:t xml:space="preserve">Hosmer, D., Lemeshow, S., &amp; Sturdivant, R. (2013).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 </w:t>
      </w:r>
      <w:r>
        <w:t xml:space="preserve">(3rd ed.). Wiley.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2026-02-12T02:09:07Z</dcterms:created>
  <dcterms:modified xsi:type="dcterms:W3CDTF">2026-02-12T02:09:07Z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