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ção"/>
    <w:p>
      <w:pPr>
        <w:pStyle w:val="Heading1"/>
      </w:pPr>
      <w:r>
        <w:t xml:space="preserve">Classificação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classificação é uma tarefa de aprendizado supervisionado que aprende a mapear vetores de atributos para rótulos de classe. Ela envolve duas etapas: construção do modelo a partir de dados rotulados e aplicação do modelo a novos casos.</w:t>
      </w:r>
      <w:r>
        <w:br/>
      </w:r>
      <w:r>
        <w:t xml:space="preserve">Slides: 1–6.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Use este roteiro como comparação incremental de modelos:</w:t>
      </w:r>
      <w:r>
        <w:t xml:space="preserve"> </w:t>
      </w:r>
      <w:r>
        <w:t xml:space="preserve">1. estabeleça baseline (Regra Zero);</w:t>
      </w:r>
      <w:r>
        <w:t xml:space="preserve"> </w:t>
      </w:r>
      <w:r>
        <w:t xml:space="preserve">2. avance para modelos mais expressivos;</w:t>
      </w:r>
      <w:r>
        <w:t xml:space="preserve"> </w:t>
      </w:r>
      <w:r>
        <w:t xml:space="preserve">3. compare sempre matriz de confusão e métricas no conjunto de teste.</w:t>
      </w:r>
      <w:r>
        <w:t xml:space="preserve"> </w:t>
      </w:r>
      <w:r>
        <w:t xml:space="preserve">Assim, o ganho de desempenho fica conectado ao custo de complexidade.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definição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CommentTok"/>
        </w:rPr>
        <w:t xml:space="preserve"># Slides 9: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CommentTok"/>
        </w:rPr>
        <w:t xml:space="preserve"># Preparacao treino/teste (usado nos exemplos)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Distribuicao das classes</w:t>
      </w:r>
      <w:r>
        <w:br/>
      </w:r>
      <w:r>
        <w:rPr>
          <w:rStyle w:val="NormalTok"/>
        </w:rPr>
        <w:t xml:space="preserve">class_tbl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(class_tbl)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class_tbl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SourceCode"/>
      </w:pPr>
      <w:r>
        <w:rPr>
          <w:rStyle w:val="CommentTok"/>
        </w:rPr>
        <w:t xml:space="preserve"># Helper: avaliacao padrao DALToolbox</w:t>
      </w:r>
      <w:r>
        <w:br/>
      </w:r>
      <w:r>
        <w:rPr>
          <w:rStyle w:val="CommentTok"/>
        </w:rPr>
        <w:t xml:space="preserve"># Slides 21–25: avaliacao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evaluate_safe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prediction, target_col) {</w:t>
      </w:r>
      <w:r>
        <w:br/>
      </w:r>
      <w:r>
        <w:rPr>
          <w:rStyle w:val="NormalTok"/>
        </w:rPr>
        <w:t xml:space="preserve">    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target_col])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predictand, prediction)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(target_col,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is.factor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(prediction)) {</w:t>
      </w:r>
      <w:r>
        <w:br/>
      </w:r>
      <w:r>
        <w:rPr>
          <w:rStyle w:val="NormalTok"/>
        </w:rPr>
        <w:t xml:space="preserve">    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(prediction)))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(prediction))]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aligned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(aligned)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</w:t>
      </w:r>
      <w:r>
        <w:br/>
      </w:r>
      <w:r>
        <w:rPr>
          <w:rStyle w:val="NormalTok"/>
        </w:rPr>
        <w:t xml:space="preserve">        common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aligned[, common]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prediction[, common,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aligned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predictand, prediction)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eval, </w:t>
      </w:r>
      <w:r>
        <w:rPr>
          <w:rStyle w:val="AttributeTok"/>
        </w:rPr>
        <w:t xml:space="preserve">predictand =</w:t>
      </w:r>
      <w:r>
        <w:rPr>
          <w:rStyle w:val="NormalTok"/>
        </w:rPr>
        <w:t xml:space="preserve"> predictand)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(train, train_prediction,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(test, test_prediction,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pred_to_label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is.data.frame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is.matrix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(cols))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(pred,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cols[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(r)]))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is.list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regra-zero-baseline"/>
    <w:p>
      <w:pPr>
        <w:pStyle w:val="Heading2"/>
      </w:pPr>
      <w:r>
        <w:t xml:space="preserve">Regra Zero (Baseline)</w:t>
      </w:r>
    </w:p>
    <w:p>
      <w:pPr>
        <w:pStyle w:val="FirstParagraph"/>
      </w:pPr>
      <w:r>
        <w:t xml:space="preserve">A Regra Zero define uma referência mínima de desempenho, sempre prevendo a classe majoritária. Qualquer modelo útil deve superar esse baseline.</w:t>
      </w:r>
      <w:r>
        <w:br/>
      </w:r>
      <w:r>
        <w:t xml:space="preserve">Slides: 10.</w:t>
      </w:r>
    </w:p>
    <w:p>
      <w:pPr>
        <w:pStyle w:val="SourceCode"/>
      </w:pPr>
      <w:r>
        <w:rPr>
          <w:rStyle w:val="CommentTok"/>
        </w:rPr>
        <w:t xml:space="preserve"># Slides 10: Regra Zero (baseline)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(model_majority, iris_train)</w:t>
      </w:r>
      <w:r>
        <w:br/>
      </w:r>
      <w:r>
        <w:rPr>
          <w:rStyle w:val="NormalTok"/>
        </w:rPr>
        <w:t xml:space="preserve">res_majority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(model_majority,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bookmarkEnd w:id="23"/>
    <w:bookmarkStart w:id="25" w:name="árvores-de-decisão"/>
    <w:p>
      <w:pPr>
        <w:pStyle w:val="Heading2"/>
      </w:pPr>
      <w:r>
        <w:t xml:space="preserve">Árvores de Decisão</w:t>
      </w:r>
    </w:p>
    <w:p>
      <w:pPr>
        <w:pStyle w:val="FirstParagraph"/>
      </w:pPr>
      <w:r>
        <w:t xml:space="preserve">Árvores de decisão particionam o espaço de atributos recursivamente usando critérios como ganho de informação, produzindo modelos interpretáveis.</w:t>
      </w:r>
      <w:r>
        <w:br/>
      </w:r>
      <w:r>
        <w:t xml:space="preserve">Slides: 11–20.</w:t>
      </w:r>
    </w:p>
    <w:p>
      <w:pPr>
        <w:pStyle w:val="SourceCode"/>
      </w:pPr>
      <w:r>
        <w:rPr>
          <w:rStyle w:val="CommentTok"/>
        </w:rPr>
        <w:t xml:space="preserve"># Slides 11–20: Arvore de Decisao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iris_train)</w:t>
      </w:r>
      <w:r>
        <w:br/>
      </w:r>
      <w:r>
        <w:rPr>
          <w:rStyle w:val="NormalTok"/>
        </w:rPr>
        <w:t xml:space="preserve">res_dtree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(model_dtree,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Start w:id="24" w:name="matriz-de-confusão"/>
    <w:p>
      <w:pPr>
        <w:pStyle w:val="Heading3"/>
      </w:pPr>
      <w:r>
        <w:t xml:space="preserve">Matriz de Confusão</w:t>
      </w:r>
    </w:p>
    <w:p>
      <w:pPr>
        <w:pStyle w:val="FirstParagraph"/>
      </w:pPr>
      <w:r>
        <w:t xml:space="preserve">A matriz de confusão permite analisar erros específicos de classificação e derivar métricas como precisão e revocação.</w:t>
      </w:r>
      <w:r>
        <w:br/>
      </w:r>
      <w:r>
        <w:t xml:space="preserve">Slides: 23–25.</w:t>
      </w:r>
    </w:p>
    <w:p>
      <w:pPr>
        <w:pStyle w:val="SourceCode"/>
      </w:pPr>
      <w:r>
        <w:rPr>
          <w:rStyle w:val="CommentTok"/>
        </w:rPr>
        <w:t xml:space="preserve"># Slides 21–25: avaliacao e matriz de confusao (exemplo com arvore)</w:t>
      </w:r>
      <w:r>
        <w:br/>
      </w:r>
      <w:r>
        <w:rPr>
          <w:rStyle w:val="CommentTok"/>
        </w:rPr>
        <w:t xml:space="preserve"># predict() pode retornar data.frame; usar vetor para a tabela</w:t>
      </w:r>
      <w:r>
        <w:br/>
      </w:r>
      <w:r>
        <w:rPr>
          <w:rStyle w:val="NormalTok"/>
        </w:rPr>
        <w:t xml:space="preserve">conf_dtree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conf_dtree</w:t>
      </w:r>
    </w:p>
    <w:p>
      <w:pPr>
        <w:pStyle w:val="SourceCode"/>
      </w:pPr>
      <w:r>
        <w:rPr>
          <w:rStyle w:val="VerbatimChar"/>
        </w:rPr>
        <w:t xml:space="preserve">##             Actual</w:t>
      </w:r>
      <w:r>
        <w:br/>
      </w:r>
      <w:r>
        <w:rPr>
          <w:rStyle w:val="VerbatimChar"/>
        </w:rPr>
        <w:t xml:space="preserve">## Pred         setosa versicolor virginica</w:t>
      </w:r>
      <w:r>
        <w:br/>
      </w:r>
      <w:r>
        <w:rPr>
          <w:rStyle w:val="VerbatimChar"/>
        </w:rPr>
        <w:t xml:space="preserve">##   setosa         11          0         0</w:t>
      </w:r>
      <w:r>
        <w:br/>
      </w:r>
      <w:r>
        <w:rPr>
          <w:rStyle w:val="VerbatimChar"/>
        </w:rPr>
        <w:t xml:space="preserve">##   versicolor      0         12         1</w:t>
      </w:r>
      <w:r>
        <w:br/>
      </w:r>
      <w:r>
        <w:rPr>
          <w:rStyle w:val="VerbatimChar"/>
        </w:rPr>
        <w:t xml:space="preserve">##   virginica       0          0         6</w:t>
      </w:r>
    </w:p>
    <w:bookmarkEnd w:id="24"/>
    <w:bookmarkEnd w:id="25"/>
    <w:bookmarkStart w:id="26" w:name="classificação-bayesiana"/>
    <w:p>
      <w:pPr>
        <w:pStyle w:val="Heading2"/>
      </w:pPr>
      <w:r>
        <w:t xml:space="preserve">Classificação Bayesiana</w:t>
      </w:r>
    </w:p>
    <w:p>
      <w:pPr>
        <w:pStyle w:val="FirstParagraph"/>
      </w:pPr>
      <w:r>
        <w:t xml:space="preserve">Naive Bayes assume independência condicional entre atributos. Apesar da suposição forte, tende a ser eficiente e competitivo em diversos cenários.</w:t>
      </w:r>
      <w:r>
        <w:br/>
      </w:r>
      <w:r>
        <w:t xml:space="preserve">Slides: 33–40.</w:t>
      </w:r>
    </w:p>
    <w:p>
      <w:pPr>
        <w:pStyle w:val="SourceCode"/>
      </w:pPr>
      <w:r>
        <w:rPr>
          <w:rStyle w:val="CommentTok"/>
        </w:rPr>
        <w:t xml:space="preserve"># Slides 33–40: Naive Bayes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(model_nb, iris_train)</w:t>
      </w:r>
      <w:r>
        <w:br/>
      </w:r>
      <w:r>
        <w:rPr>
          <w:rStyle w:val="NormalTok"/>
        </w:rPr>
        <w:t xml:space="preserve">res_nb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(model_nb,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6"/>
    <w:bookmarkStart w:id="27" w:name="regressão-logística"/>
    <w:p>
      <w:pPr>
        <w:pStyle w:val="Heading2"/>
      </w:pPr>
      <w:r>
        <w:t xml:space="preserve">Regressão Logística</w:t>
      </w:r>
    </w:p>
    <w:p>
      <w:pPr>
        <w:pStyle w:val="FirstParagraph"/>
      </w:pPr>
      <w:r>
        <w:t xml:space="preserve">Modela a probabilidade de pertencimento a uma classe via função logística. Aqui, reduzimos para um problema binário (versicolor vs. não-versicolor), comparando modelo completo e simplificado.</w:t>
      </w:r>
      <w:r>
        <w:br/>
      </w:r>
      <w:r>
        <w:t xml:space="preserve">Slides: 41–47.</w:t>
      </w:r>
    </w:p>
    <w:p>
      <w:pPr>
        <w:pStyle w:val="SourceCode"/>
      </w:pPr>
      <w:r>
        <w:rPr>
          <w:rStyle w:val="CommentTok"/>
        </w:rPr>
        <w:t xml:space="preserve"># Slides 41–47: Regressao Logistica (versicolor vs nao-versicolor)</w:t>
      </w:r>
      <w:r>
        <w:br/>
      </w:r>
      <w:r>
        <w:rPr>
          <w:rStyle w:val="CommentTok"/>
        </w:rPr>
        <w:t xml:space="preserve"># Problema binario</w:t>
      </w:r>
      <w:r>
        <w:br/>
      </w:r>
      <w:r>
        <w:rPr>
          <w:rStyle w:val="NormalTok"/>
        </w:rPr>
        <w:t xml:space="preserve">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iris_bin_train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iris_train)</w:t>
      </w:r>
      <w:r>
        <w:br/>
      </w:r>
      <w:r>
        <w:rPr>
          <w:rStyle w:val="NormalTok"/>
        </w:rPr>
        <w:t xml:space="preserve">iris_bin_test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iris_test)</w:t>
      </w:r>
      <w:r>
        <w:br/>
      </w:r>
      <w:r>
        <w:rPr>
          <w:rStyle w:val="NormalTok"/>
        </w:rPr>
        <w:t xml:space="preserve">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NormalTok"/>
        </w:rPr>
        <w:t xml:space="preserve">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CommentTok"/>
        </w:rPr>
        <w:t xml:space="preserve"># Modelo completo</w:t>
      </w:r>
      <w:r>
        <w:br/>
      </w:r>
      <w:r>
        <w:rPr>
          <w:rStyle w:val="NormalTok"/>
        </w:rPr>
        <w:t xml:space="preserve">model_glm_full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(model_glm_full, iris_bin_train)</w:t>
      </w:r>
      <w:r>
        <w:br/>
      </w:r>
      <w:r>
        <w:rPr>
          <w:rStyle w:val="NormalTok"/>
        </w:rPr>
        <w:t xml:space="preserve">res_glm_full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(model_glm_full, iris_bin_train, iris_bin_test,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0.7583333 73 18 20  9 0.7849462 0.8902439   0.8902439   0.4736842 0.8342857</w:t>
      </w:r>
      <w:r>
        <w:br/>
      </w: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0.6666667 16  4  8  2 0.6666667 0.8888889   0.8888889   0.3333333 0.7619048</w:t>
      </w:r>
    </w:p>
    <w:p>
      <w:pPr>
        <w:pStyle w:val="SourceCode"/>
      </w:pPr>
      <w:r>
        <w:rPr>
          <w:rStyle w:val="NormalTok"/>
        </w:rPr>
        <w:t xml:space="preserve">conf_full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conf_full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16          8</w:t>
      </w:r>
      <w:r>
        <w:br/>
      </w:r>
      <w:r>
        <w:rPr>
          <w:rStyle w:val="VerbatimChar"/>
        </w:rPr>
        <w:t xml:space="preserve">##   versicolor                  2          4</w:t>
      </w:r>
    </w:p>
    <w:p>
      <w:pPr>
        <w:pStyle w:val="SourceCode"/>
      </w:pPr>
      <w:r>
        <w:rPr>
          <w:rStyle w:val="CommentTok"/>
        </w:rPr>
        <w:t xml:space="preserve"># Modelo simplificado (petal length/width)</w:t>
      </w:r>
      <w:r>
        <w:br/>
      </w:r>
      <w:r>
        <w:rPr>
          <w:rStyle w:val="NormalTok"/>
        </w:rPr>
        <w:t xml:space="preserve">model_glm_simple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(model_glm_simple, iris_bin_train)</w:t>
      </w:r>
      <w:r>
        <w:br/>
      </w:r>
      <w:r>
        <w:rPr>
          <w:rStyle w:val="NormalTok"/>
        </w:rPr>
        <w:t xml:space="preserve">res_glm_simple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(model_glm_simple, iris_bin_train, iris_bin_test,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   recall sensitivity specificity        f1</w:t>
      </w:r>
      <w:r>
        <w:br/>
      </w:r>
      <w:r>
        <w:rPr>
          <w:rStyle w:val="VerbatimChar"/>
        </w:rPr>
        <w:t xml:space="preserve">## 1    0.625 69  6 32 13 0.6831683 0.8414634   0.8414634   0.1578947 0.7540984</w:t>
      </w:r>
      <w:r>
        <w:br/>
      </w: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0.5666667 17  0 12  1 0.5862069 0.9444444   0.9444444           0 0.7234043</w:t>
      </w:r>
    </w:p>
    <w:p>
      <w:pPr>
        <w:pStyle w:val="SourceCode"/>
      </w:pPr>
      <w:r>
        <w:rPr>
          <w:rStyle w:val="NormalTok"/>
        </w:rPr>
        <w:t xml:space="preserve">conf_simple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conf_simple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17         12</w:t>
      </w:r>
      <w:r>
        <w:br/>
      </w:r>
      <w:r>
        <w:rPr>
          <w:rStyle w:val="VerbatimChar"/>
        </w:rPr>
        <w:t xml:space="preserve">##   versicolor                  1          0</w:t>
      </w:r>
    </w:p>
    <w:bookmarkEnd w:id="27"/>
    <w:bookmarkStart w:id="28" w:name="k-nn-aprendizagem-preguiçosa"/>
    <w:p>
      <w:pPr>
        <w:pStyle w:val="Heading2"/>
      </w:pPr>
      <w:r>
        <w:t xml:space="preserve">k-NN (Aprendizagem Preguiçosa)</w:t>
      </w:r>
    </w:p>
    <w:p>
      <w:pPr>
        <w:pStyle w:val="FirstParagraph"/>
      </w:pPr>
      <w:r>
        <w:t xml:space="preserve">Métodos baseados em instâncias adiam o processamento para a fase de predição. O k-NN decide pela maioria dos k vizinhos mais próximos.</w:t>
      </w:r>
      <w:r>
        <w:br/>
      </w:r>
      <w:r>
        <w:t xml:space="preserve">Slides: 48–53.</w:t>
      </w:r>
    </w:p>
    <w:p>
      <w:pPr>
        <w:pStyle w:val="SourceCode"/>
      </w:pPr>
      <w:r>
        <w:rPr>
          <w:rStyle w:val="CommentTok"/>
        </w:rPr>
        <w:t xml:space="preserve"># Slides 48–53: Aprendizagem preguiçosa (k-NN)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iris_train)</w:t>
      </w:r>
      <w:r>
        <w:br/>
      </w:r>
      <w:r>
        <w:rPr>
          <w:rStyle w:val="NormalTok"/>
        </w:rPr>
        <w:t xml:space="preserve">res_knn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(model_knn,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bookmarkEnd w:id="28"/>
    <w:bookmarkStart w:id="29" w:name="próxima-aula"/>
    <w:p>
      <w:pPr>
        <w:pStyle w:val="Heading2"/>
      </w:pPr>
      <w:r>
        <w:t xml:space="preserve">Próxima Aula</w:t>
      </w:r>
    </w:p>
    <w:p>
      <w:pPr>
        <w:pStyle w:val="FirstParagraph"/>
      </w:pPr>
      <w:r>
        <w:t xml:space="preserve">Métodos avançados (SVM, ensembles, boosting, tuning e seleção de atributos) foram concentrados em</w:t>
      </w:r>
      <w:r>
        <w:t xml:space="preserve"> </w:t>
      </w:r>
      <w:r>
        <w:rPr>
          <w:rStyle w:val="VerbatimChar"/>
        </w:rPr>
        <w:t xml:space="preserve">08-Classification-Advanced.Rmd</w:t>
      </w:r>
      <w:r>
        <w:t xml:space="preserve"> </w:t>
      </w:r>
      <w:r>
        <w:t xml:space="preserve">para evitar repetição e manter a progressão didática.</w:t>
      </w:r>
    </w:p>
    <w:bookmarkEnd w:id="29"/>
    <w:bookmarkStart w:id="3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Mitchell, T. (1997).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Cover, T., &amp; Hart, P. (1967). Nearest neighbor pattern classification.</w:t>
      </w:r>
      <w:r>
        <w:t xml:space="preserve"> </w:t>
      </w:r>
      <w:r>
        <w:rPr>
          <w:i/>
          <w:iCs/>
        </w:rPr>
        <w:t xml:space="preserve">IEEE Trans. Information Theory</w:t>
      </w:r>
      <w:r>
        <w:t xml:space="preserve">, 13(1), 21–27.</w:t>
      </w:r>
    </w:p>
    <w:p>
      <w:pPr>
        <w:pStyle w:val="Compact"/>
        <w:numPr>
          <w:ilvl w:val="0"/>
          <w:numId w:val="1001"/>
        </w:numPr>
      </w:pPr>
      <w:r>
        <w:t xml:space="preserve">Hosmer, D., Lemeshow, S., &amp; Sturdivant, R. (2013).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 </w:t>
      </w:r>
      <w:r>
        <w:t xml:space="preserve">(3rd ed.). Wiley.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2026-02-12T01:53:22Z</dcterms:created>
  <dcterms:modified xsi:type="dcterms:W3CDTF">2026-02-12T01:53:22Z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