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classificação"/>
    <w:p>
      <w:pPr>
        <w:pStyle w:val="Heading1"/>
      </w:pPr>
      <w:r>
        <w:t xml:space="preserve">Classificação</w:t>
      </w:r>
    </w:p>
    <w:bookmarkStart w:id="20" w:name="visão-geral"/>
    <w:p>
      <w:pPr>
        <w:pStyle w:val="Heading2"/>
      </w:pPr>
      <w:r>
        <w:t xml:space="preserve">Visão Geral</w:t>
      </w:r>
    </w:p>
    <w:p>
      <w:pPr>
        <w:pStyle w:val="FirstParagraph"/>
      </w:pPr>
      <w:r>
        <w:t xml:space="preserve">A classificação é uma tarefa de aprendizado supervisionado que aprende a mapear vetores de atributos para rótulos de classe. Ela envolve duas etapas: construção do modelo a partir de dados rotulados e aplicação do modelo a novos casos.</w:t>
      </w:r>
      <w:r>
        <w:br/>
      </w:r>
      <w:r>
        <w:t xml:space="preserve">Slides: 1–6.</w:t>
      </w:r>
    </w:p>
    <w:bookmarkEnd w:id="20"/>
    <w:bookmarkStart w:id="21" w:name="configuração"/>
    <w:p>
      <w:pPr>
        <w:pStyle w:val="Heading2"/>
      </w:pPr>
      <w:r>
        <w:t xml:space="preserve">Configuração</w:t>
      </w:r>
    </w:p>
    <w:p>
      <w:pPr>
        <w:pStyle w:val="SourceCode"/>
      </w:pPr>
      <w:r>
        <w:rPr>
          <w:rStyle w:val="CommentTok"/>
        </w:rPr>
        <w:t xml:space="preserve"># Slides 1–3: contexto e definição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br/>
      </w:r>
      <w:r>
        <w:rPr>
          <w:rStyle w:val="CommentTok"/>
        </w:rPr>
        <w:t xml:space="preserve"># Slide 9: conjunto de dados de exemplo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SourceCode"/>
      </w:pPr>
      <w:r>
        <w:rPr>
          <w:rStyle w:val="CommentTok"/>
        </w:rPr>
        <w:t xml:space="preserve"># Preparacao treino/teste (usado nos exemplos)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(split_random,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Distribuicao das classes</w:t>
      </w:r>
      <w:r>
        <w:br/>
      </w:r>
      <w:r>
        <w:rPr>
          <w:rStyle w:val="NormalTok"/>
        </w:rPr>
        <w:t xml:space="preserve">class_tbl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(class_tbl)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class_tbl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SourceCode"/>
      </w:pPr>
      <w:r>
        <w:rPr>
          <w:rStyle w:val="CommentTok"/>
        </w:rPr>
        <w:t xml:space="preserve"># Helper: avaliacao padrao DALToolbox</w:t>
      </w:r>
      <w:r>
        <w:br/>
      </w:r>
      <w:r>
        <w:rPr>
          <w:rStyle w:val="CommentTok"/>
        </w:rPr>
        <w:t xml:space="preserve"># Slides 21–25: avaliacao</w:t>
      </w:r>
      <w:r>
        <w:br/>
      </w:r>
      <w:r>
        <w:br/>
      </w:r>
      <w:r>
        <w:rPr>
          <w:rStyle w:val="NormalTok"/>
        </w:rPr>
        <w:t xml:space="preserve">eval_model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train, test, target_col)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train)</w:t>
      </w:r>
      <w:r>
        <w:br/>
      </w:r>
      <w:r>
        <w:rPr>
          <w:rStyle w:val="NormalTok"/>
        </w:rPr>
        <w:t xml:space="preserve">  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(train[, target_col])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train_predictand, train_prediction)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  <w:r>
        <w:br/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test)</w:t>
      </w:r>
      <w:r>
        <w:br/>
      </w:r>
      <w:r>
        <w:rPr>
          <w:rStyle w:val="NormalTok"/>
        </w:rPr>
        <w:t xml:space="preserve">  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(test[, target_col])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test_predictand, test_prediction)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train_prediction =</w:t>
      </w:r>
      <w:r>
        <w:rPr>
          <w:rStyle w:val="NormalTok"/>
        </w:rPr>
        <w:t xml:space="preserve"> train_prediction,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train_predictand =</w:t>
      </w:r>
      <w:r>
        <w:rPr>
          <w:rStyle w:val="NormalTok"/>
        </w:rPr>
        <w:t xml:space="preserve"> train_predictand,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test_prediction =</w:t>
      </w:r>
      <w:r>
        <w:rPr>
          <w:rStyle w:val="NormalTok"/>
        </w:rPr>
        <w:t xml:space="preserve"> test_prediction,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test_predictand =</w:t>
      </w:r>
      <w:r>
        <w:rPr>
          <w:rStyle w:val="NormalTok"/>
        </w:rPr>
        <w:t xml:space="preserve"> test_predictand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pred_to_label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(pred)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is.data.frame</w:t>
      </w:r>
      <w:r>
        <w:rPr>
          <w:rStyle w:val="NormalTok"/>
        </w:rPr>
        <w:t xml:space="preserve">(pred)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is.matrix</w:t>
      </w:r>
      <w:r>
        <w:rPr>
          <w:rStyle w:val="NormalTok"/>
        </w:rPr>
        <w:t xml:space="preserve">(pred))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(pred)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(cols)) 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(pred))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(pred,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(r) cols[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(r)]))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is.list</w:t>
      </w:r>
      <w:r>
        <w:rPr>
          <w:rStyle w:val="NormalTok"/>
        </w:rPr>
        <w:t xml:space="preserve">(pred))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(pred))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(pred)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regra-zero-baseline"/>
    <w:p>
      <w:pPr>
        <w:pStyle w:val="Heading2"/>
      </w:pPr>
      <w:r>
        <w:t xml:space="preserve">Regra Zero (Baseline)</w:t>
      </w:r>
    </w:p>
    <w:p>
      <w:pPr>
        <w:pStyle w:val="FirstParagraph"/>
      </w:pPr>
      <w:r>
        <w:t xml:space="preserve">A Regra Zero define uma referência mínima de desempenho, sempre prevendo a classe majoritária. Qualquer modelo útil deve superar esse baseline.</w:t>
      </w:r>
      <w:r>
        <w:br/>
      </w:r>
      <w:r>
        <w:t xml:space="preserve">Slides: 10.</w:t>
      </w:r>
    </w:p>
    <w:p>
      <w:pPr>
        <w:pStyle w:val="SourceCode"/>
      </w:pPr>
      <w:r>
        <w:rPr>
          <w:rStyle w:val="CommentTok"/>
        </w:rPr>
        <w:t xml:space="preserve"># Slide 10: Regra Zero (baseline)</w:t>
      </w:r>
      <w:r>
        <w:br/>
      </w:r>
      <w:r>
        <w:rPr>
          <w:rStyle w:val="NormalTok"/>
        </w:rPr>
        <w:t xml:space="preserve">model_majority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model_majority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(model_majority, iris_train)</w:t>
      </w:r>
      <w:r>
        <w:br/>
      </w:r>
      <w:r>
        <w:rPr>
          <w:rStyle w:val="NormalTok"/>
        </w:rPr>
        <w:t xml:space="preserve">res_majority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(model_majority,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0.3583333  0 81  0 39       NaN      0           0           1 NaN</w:t>
      </w:r>
      <w:r>
        <w:br/>
      </w: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0.2333333  0 19  0 11       NaN      0           0           1 NaN</w:t>
      </w:r>
    </w:p>
    <w:bookmarkEnd w:id="22"/>
    <w:bookmarkStart w:id="24" w:name="árvores-de-decisão"/>
    <w:p>
      <w:pPr>
        <w:pStyle w:val="Heading2"/>
      </w:pPr>
      <w:r>
        <w:t xml:space="preserve">Árvores de Decisão</w:t>
      </w:r>
    </w:p>
    <w:p>
      <w:pPr>
        <w:pStyle w:val="FirstParagraph"/>
      </w:pPr>
      <w:r>
        <w:t xml:space="preserve">Árvores de decisão particionam o espaço de atributos recursivamente usando critérios como ganho de informação, produzindo modelos interpretáveis.</w:t>
      </w:r>
      <w:r>
        <w:br/>
      </w:r>
      <w:r>
        <w:t xml:space="preserve">Slides: 11–20.</w:t>
      </w:r>
    </w:p>
    <w:p>
      <w:pPr>
        <w:pStyle w:val="SourceCode"/>
      </w:pPr>
      <w:r>
        <w:rPr>
          <w:rStyle w:val="CommentTok"/>
        </w:rPr>
        <w:t xml:space="preserve"># Slides 11–20: Arvore de Decisao</w:t>
      </w:r>
      <w:r>
        <w:br/>
      </w:r>
      <w:r>
        <w:rPr>
          <w:rStyle w:val="NormalTok"/>
        </w:rPr>
        <w:t xml:space="preserve">model_dtree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model_dtree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(model_dtree, iris_train)</w:t>
      </w:r>
      <w:r>
        <w:br/>
      </w:r>
      <w:r>
        <w:rPr>
          <w:rStyle w:val="NormalTok"/>
        </w:rPr>
        <w:t xml:space="preserve">res_dtree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(model_dtree,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bookmarkStart w:id="23" w:name="matriz-de-confusão"/>
    <w:p>
      <w:pPr>
        <w:pStyle w:val="Heading3"/>
      </w:pPr>
      <w:r>
        <w:t xml:space="preserve">Matriz de Confusão</w:t>
      </w:r>
    </w:p>
    <w:p>
      <w:pPr>
        <w:pStyle w:val="FirstParagraph"/>
      </w:pPr>
      <w:r>
        <w:t xml:space="preserve">A matriz de confusão permite analisar erros específicos de classificação e derivar métricas como precisão e revocação.</w:t>
      </w:r>
      <w:r>
        <w:br/>
      </w:r>
      <w:r>
        <w:t xml:space="preserve">Slides: 23–25.</w:t>
      </w:r>
    </w:p>
    <w:p>
      <w:pPr>
        <w:pStyle w:val="SourceCode"/>
      </w:pPr>
      <w:r>
        <w:rPr>
          <w:rStyle w:val="CommentTok"/>
        </w:rPr>
        <w:t xml:space="preserve"># Slides 21–25: avaliacao e matriz de confusao (exemplo com arvore)</w:t>
      </w:r>
      <w:r>
        <w:br/>
      </w:r>
      <w:r>
        <w:rPr>
          <w:rStyle w:val="CommentTok"/>
        </w:rPr>
        <w:t xml:space="preserve"># predict() pode retornar data.frame; usar vetor para a tabela</w:t>
      </w:r>
      <w:r>
        <w:br/>
      </w:r>
      <w:r>
        <w:rPr>
          <w:rStyle w:val="NormalTok"/>
        </w:rPr>
        <w:t xml:space="preserve">conf_dtree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pred_to_label</w:t>
      </w:r>
      <w:r>
        <w:rPr>
          <w:rStyle w:val="NormalTok"/>
        </w:rPr>
        <w:t xml:space="preserve">(res_dtree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test_prediction),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pred_to_label</w:t>
      </w:r>
      <w:r>
        <w:rPr>
          <w:rStyle w:val="NormalTok"/>
        </w:rPr>
        <w:t xml:space="preserve">(res_dtree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test_predictand)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conf_dtree</w:t>
      </w:r>
    </w:p>
    <w:p>
      <w:pPr>
        <w:pStyle w:val="SourceCode"/>
      </w:pPr>
      <w:r>
        <w:rPr>
          <w:rStyle w:val="VerbatimChar"/>
        </w:rPr>
        <w:t xml:space="preserve">##             Actual</w:t>
      </w:r>
      <w:r>
        <w:br/>
      </w:r>
      <w:r>
        <w:rPr>
          <w:rStyle w:val="VerbatimChar"/>
        </w:rPr>
        <w:t xml:space="preserve">## Pred         setosa versicolor virginica</w:t>
      </w:r>
      <w:r>
        <w:br/>
      </w:r>
      <w:r>
        <w:rPr>
          <w:rStyle w:val="VerbatimChar"/>
        </w:rPr>
        <w:t xml:space="preserve">##   setosa         11          0         0</w:t>
      </w:r>
      <w:r>
        <w:br/>
      </w:r>
      <w:r>
        <w:rPr>
          <w:rStyle w:val="VerbatimChar"/>
        </w:rPr>
        <w:t xml:space="preserve">##   versicolor      0         12         1</w:t>
      </w:r>
      <w:r>
        <w:br/>
      </w:r>
      <w:r>
        <w:rPr>
          <w:rStyle w:val="VerbatimChar"/>
        </w:rPr>
        <w:t xml:space="preserve">##   virginica       0          0         6</w:t>
      </w:r>
    </w:p>
    <w:bookmarkEnd w:id="23"/>
    <w:bookmarkEnd w:id="24"/>
    <w:bookmarkStart w:id="25" w:name="classificação-bayesiana"/>
    <w:p>
      <w:pPr>
        <w:pStyle w:val="Heading2"/>
      </w:pPr>
      <w:r>
        <w:t xml:space="preserve">Classificação Bayesiana</w:t>
      </w:r>
    </w:p>
    <w:p>
      <w:pPr>
        <w:pStyle w:val="FirstParagraph"/>
      </w:pPr>
      <w:r>
        <w:t xml:space="preserve">Naive Bayes assume independência condicional entre atributos. Apesar da suposição forte, tende a ser eficiente e competitivo em diversos cenários.</w:t>
      </w:r>
      <w:r>
        <w:br/>
      </w:r>
      <w:r>
        <w:t xml:space="preserve">Slides: 33–40.</w:t>
      </w:r>
    </w:p>
    <w:p>
      <w:pPr>
        <w:pStyle w:val="SourceCode"/>
      </w:pPr>
      <w:r>
        <w:rPr>
          <w:rStyle w:val="CommentTok"/>
        </w:rPr>
        <w:t xml:space="preserve"># Slides 33–40: Naive Bayes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(model_nb, iris_train)</w:t>
      </w:r>
      <w:r>
        <w:br/>
      </w:r>
      <w:r>
        <w:rPr>
          <w:rStyle w:val="NormalTok"/>
        </w:rPr>
        <w:t xml:space="preserve">res_nb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(model_nb,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bookmarkEnd w:id="25"/>
    <w:bookmarkStart w:id="26" w:name="regressão-logística"/>
    <w:p>
      <w:pPr>
        <w:pStyle w:val="Heading2"/>
      </w:pPr>
      <w:r>
        <w:t xml:space="preserve">Regressão Logística</w:t>
      </w:r>
    </w:p>
    <w:p>
      <w:pPr>
        <w:pStyle w:val="FirstParagraph"/>
      </w:pPr>
      <w:r>
        <w:t xml:space="preserve">Modela a probabilidade de pertencimento a uma classe via função logística. Aqui, reduzimos para um problema binário (versicolor vs. não-versicolor), comparando modelo completo e simplificado.</w:t>
      </w:r>
      <w:r>
        <w:br/>
      </w:r>
      <w:r>
        <w:t xml:space="preserve">Slides: 41–47.</w:t>
      </w:r>
    </w:p>
    <w:p>
      <w:pPr>
        <w:pStyle w:val="SourceCode"/>
      </w:pPr>
      <w:r>
        <w:rPr>
          <w:rStyle w:val="CommentTok"/>
        </w:rPr>
        <w:t xml:space="preserve"># Slides 41–47: Regressao Logistica (versicolor vs nao-versicolor)</w:t>
      </w:r>
      <w:r>
        <w:br/>
      </w:r>
      <w:r>
        <w:rPr>
          <w:rStyle w:val="CommentTok"/>
        </w:rPr>
        <w:t xml:space="preserve"># Problema binario</w:t>
      </w:r>
      <w:r>
        <w:br/>
      </w:r>
      <w:r>
        <w:rPr>
          <w:rStyle w:val="NormalTok"/>
        </w:rPr>
        <w:t xml:space="preserve">fg_bin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feature_generation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IsVersicolor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"not_versicolor"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iris_bin_train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(fg_bin, iris_train)</w:t>
      </w:r>
      <w:r>
        <w:br/>
      </w:r>
      <w:r>
        <w:rPr>
          <w:rStyle w:val="NormalTok"/>
        </w:rPr>
        <w:t xml:space="preserve">iris_bin_test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(fg_bin, iris_test)</w:t>
      </w:r>
      <w:r>
        <w:br/>
      </w:r>
      <w:r>
        <w:rPr>
          <w:rStyle w:val="NormalTok"/>
        </w:rPr>
        <w:t xml:space="preserve">iris_bin_train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(iris_bin_train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rPr>
          <w:rStyle w:val="NormalTok"/>
        </w:rPr>
        <w:t xml:space="preserve">iris_bin_test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(iris_bin_test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NormalTok"/>
        </w:rPr>
        <w:t xml:space="preserve">binary_metrics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(actual, pred,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actual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(actual,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(positive,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(actual), positive)))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(pred,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(actual))</w:t>
      </w:r>
      <w:r>
        <w:br/>
      </w:r>
      <w:r>
        <w:rPr>
          <w:rStyle w:val="NormalTok"/>
        </w:rPr>
        <w:t xml:space="preserve">  tp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positive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actual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positive)</w:t>
      </w:r>
      <w:r>
        <w:br/>
      </w:r>
      <w:r>
        <w:rPr>
          <w:rStyle w:val="NormalTok"/>
        </w:rPr>
        <w:t xml:space="preserve">  tn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(pred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positive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actual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positive)</w:t>
      </w:r>
      <w:r>
        <w:br/>
      </w:r>
      <w:r>
        <w:rPr>
          <w:rStyle w:val="NormalTok"/>
        </w:rPr>
        <w:t xml:space="preserve">  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positive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actual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positive)</w:t>
      </w:r>
      <w:r>
        <w:br/>
      </w:r>
      <w:r>
        <w:rPr>
          <w:rStyle w:val="NormalTok"/>
        </w:rPr>
        <w:t xml:space="preserve">  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(pred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positive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actual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positive)</w:t>
      </w:r>
      <w:r>
        <w:br/>
      </w:r>
      <w:r>
        <w:br/>
      </w:r>
      <w:r>
        <w:rPr>
          <w:rStyle w:val="NormalTok"/>
        </w:rPr>
        <w:t xml:space="preserve">  acc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(actual)</w:t>
      </w:r>
      <w:r>
        <w:br/>
      </w:r>
      <w:r>
        <w:rPr>
          <w:rStyle w:val="NormalTok"/>
        </w:rPr>
        <w:t xml:space="preserve">  prec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((tp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(tp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fp)</w:t>
      </w:r>
      <w:r>
        <w:br/>
      </w:r>
      <w:r>
        <w:rPr>
          <w:rStyle w:val="NormalTok"/>
        </w:rPr>
        <w:t xml:space="preserve">  rec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((tp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(tp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fn)</w:t>
      </w:r>
      <w:r>
        <w:br/>
      </w:r>
      <w:r>
        <w:rPr>
          <w:rStyle w:val="NormalTok"/>
        </w:rPr>
        <w:t xml:space="preserve">  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(prec)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(rec)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(prec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(prec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accuracy =</w:t>
      </w:r>
      <w:r>
        <w:rPr>
          <w:rStyle w:val="NormalTok"/>
        </w:rPr>
        <w:t xml:space="preserve"> acc, </w:t>
      </w:r>
      <w:r>
        <w:rPr>
          <w:rStyle w:val="AttributeTok"/>
        </w:rPr>
        <w:t xml:space="preserve">precision =</w:t>
      </w:r>
      <w:r>
        <w:rPr>
          <w:rStyle w:val="NormalTok"/>
        </w:rPr>
        <w:t xml:space="preserve"> prec, </w:t>
      </w:r>
      <w:r>
        <w:rPr>
          <w:rStyle w:val="AttributeTok"/>
        </w:rPr>
        <w:t xml:space="preserve">recall =</w:t>
      </w:r>
      <w:r>
        <w:rPr>
          <w:rStyle w:val="NormalTok"/>
        </w:rPr>
        <w:t xml:space="preserve"> rec, </w:t>
      </w:r>
      <w:r>
        <w:rPr>
          <w:rStyle w:val="AttributeTok"/>
        </w:rPr>
        <w:t xml:space="preserve">f1 =</w:t>
      </w:r>
      <w:r>
        <w:rPr>
          <w:rStyle w:val="NormalTok"/>
        </w:rPr>
        <w:t xml:space="preserve"> f1)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Modelo completo</w:t>
      </w:r>
      <w:r>
        <w:br/>
      </w:r>
      <w:r>
        <w:rPr>
          <w:rStyle w:val="NormalTok"/>
        </w:rPr>
        <w:t xml:space="preserve">glm_full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IsVersicolor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Sepal.Width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iris_bin_train,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(glm_full,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iris_bin_test,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(prob_full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"not_versicolor"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(pred_full,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(iris_bin_train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IsVersicolor))</w:t>
      </w:r>
      <w:r>
        <w:br/>
      </w:r>
      <w:r>
        <w:rPr>
          <w:rStyle w:val="NormalTok"/>
        </w:rPr>
        <w:t xml:space="preserve">conf_full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pred_full,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iris_bin_test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rPr>
          <w:rStyle w:val="NormalTok"/>
        </w:rPr>
        <w:t xml:space="preserve">conf_full</w:t>
      </w:r>
    </w:p>
    <w:p>
      <w:pPr>
        <w:pStyle w:val="SourceCode"/>
      </w:pPr>
      <w:r>
        <w:rPr>
          <w:rStyle w:val="VerbatimChar"/>
        </w:rPr>
        <w:t xml:space="preserve">##                 Actual</w:t>
      </w:r>
      <w:r>
        <w:br/>
      </w:r>
      <w:r>
        <w:rPr>
          <w:rStyle w:val="VerbatimChar"/>
        </w:rPr>
        <w:t xml:space="preserve">## Pred             not_versicolor versicolor</w:t>
      </w:r>
      <w:r>
        <w:br/>
      </w:r>
      <w:r>
        <w:rPr>
          <w:rStyle w:val="VerbatimChar"/>
        </w:rPr>
        <w:t xml:space="preserve">##   not_versicolor             16          8</w:t>
      </w:r>
      <w:r>
        <w:br/>
      </w:r>
      <w:r>
        <w:rPr>
          <w:rStyle w:val="VerbatimChar"/>
        </w:rPr>
        <w:t xml:space="preserve">##   versicolor                  2          4</w:t>
      </w:r>
    </w:p>
    <w:p>
      <w:pPr>
        <w:pStyle w:val="SourceCode"/>
      </w:pPr>
      <w:r>
        <w:rPr>
          <w:rStyle w:val="FunctionTok"/>
        </w:rPr>
        <w:t xml:space="preserve">binary_metrics</w:t>
      </w:r>
      <w:r>
        <w:rPr>
          <w:rStyle w:val="NormalTok"/>
        </w:rPr>
        <w:t xml:space="preserve">(iris_bin_test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IsVersicolor, pred_full)</w:t>
      </w:r>
    </w:p>
    <w:p>
      <w:pPr>
        <w:pStyle w:val="SourceCode"/>
      </w:pPr>
      <w:r>
        <w:rPr>
          <w:rStyle w:val="VerbatimChar"/>
        </w:rPr>
        <w:t xml:space="preserve">##  accuracy precision    recall        f1 </w:t>
      </w:r>
      <w:r>
        <w:br/>
      </w:r>
      <w:r>
        <w:rPr>
          <w:rStyle w:val="VerbatimChar"/>
        </w:rPr>
        <w:t xml:space="preserve">## 0.6666667 0.6666667 0.3333333 0.4444444</w:t>
      </w:r>
    </w:p>
    <w:p>
      <w:pPr>
        <w:pStyle w:val="SourceCode"/>
      </w:pPr>
      <w:r>
        <w:rPr>
          <w:rStyle w:val="CommentTok"/>
        </w:rPr>
        <w:t xml:space="preserve"># Modelo simplificado (petal length/width)</w:t>
      </w:r>
      <w:r>
        <w:br/>
      </w:r>
      <w:r>
        <w:rPr>
          <w:rStyle w:val="NormalTok"/>
        </w:rPr>
        <w:t xml:space="preserve">glm_simple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IsVersicolor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iris_bin_train,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(glm_simple,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iris_bin_test,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(prob_simple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"not_versicolor"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(pred_simple,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(iris_bin_train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IsVersicolor))</w:t>
      </w:r>
      <w:r>
        <w:br/>
      </w:r>
      <w:r>
        <w:rPr>
          <w:rStyle w:val="NormalTok"/>
        </w:rPr>
        <w:t xml:space="preserve">conf_simple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pred_simple,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iris_bin_test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rPr>
          <w:rStyle w:val="NormalTok"/>
        </w:rPr>
        <w:t xml:space="preserve">conf_simple</w:t>
      </w:r>
    </w:p>
    <w:p>
      <w:pPr>
        <w:pStyle w:val="SourceCode"/>
      </w:pPr>
      <w:r>
        <w:rPr>
          <w:rStyle w:val="VerbatimChar"/>
        </w:rPr>
        <w:t xml:space="preserve">##                 Actual</w:t>
      </w:r>
      <w:r>
        <w:br/>
      </w:r>
      <w:r>
        <w:rPr>
          <w:rStyle w:val="VerbatimChar"/>
        </w:rPr>
        <w:t xml:space="preserve">## Pred             not_versicolor versicolor</w:t>
      </w:r>
      <w:r>
        <w:br/>
      </w:r>
      <w:r>
        <w:rPr>
          <w:rStyle w:val="VerbatimChar"/>
        </w:rPr>
        <w:t xml:space="preserve">##   not_versicolor             17         12</w:t>
      </w:r>
      <w:r>
        <w:br/>
      </w:r>
      <w:r>
        <w:rPr>
          <w:rStyle w:val="VerbatimChar"/>
        </w:rPr>
        <w:t xml:space="preserve">##   versicolor                  1          0</w:t>
      </w:r>
    </w:p>
    <w:p>
      <w:pPr>
        <w:pStyle w:val="SourceCode"/>
      </w:pPr>
      <w:r>
        <w:rPr>
          <w:rStyle w:val="FunctionTok"/>
        </w:rPr>
        <w:t xml:space="preserve">binary_metrics</w:t>
      </w:r>
      <w:r>
        <w:rPr>
          <w:rStyle w:val="NormalTok"/>
        </w:rPr>
        <w:t xml:space="preserve">(iris_bin_test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IsVersicolor, pred_simple)</w:t>
      </w:r>
    </w:p>
    <w:p>
      <w:pPr>
        <w:pStyle w:val="SourceCode"/>
      </w:pPr>
      <w:r>
        <w:rPr>
          <w:rStyle w:val="VerbatimChar"/>
        </w:rPr>
        <w:t xml:space="preserve">##  accuracy precision    recall        f1 </w:t>
      </w:r>
      <w:r>
        <w:br/>
      </w:r>
      <w:r>
        <w:rPr>
          <w:rStyle w:val="VerbatimChar"/>
        </w:rPr>
        <w:t xml:space="preserve">## 0.5666667 0.0000000 0.0000000        NA</w:t>
      </w:r>
    </w:p>
    <w:bookmarkEnd w:id="26"/>
    <w:bookmarkStart w:id="27" w:name="k-nn-aprendizagem-preguiçosa"/>
    <w:p>
      <w:pPr>
        <w:pStyle w:val="Heading2"/>
      </w:pPr>
      <w:r>
        <w:t xml:space="preserve">k-NN (Aprendizagem Preguiçosa)</w:t>
      </w:r>
    </w:p>
    <w:p>
      <w:pPr>
        <w:pStyle w:val="FirstParagraph"/>
      </w:pPr>
      <w:r>
        <w:t xml:space="preserve">Métodos baseados em instâncias adiam o processamento para a fase de predição. O k-NN decide pela maioria dos k vizinhos mais próximos.</w:t>
      </w:r>
      <w:r>
        <w:br/>
      </w:r>
      <w:r>
        <w:t xml:space="preserve">Slides: 48–53.</w:t>
      </w:r>
    </w:p>
    <w:p>
      <w:pPr>
        <w:pStyle w:val="SourceCode"/>
      </w:pPr>
      <w:r>
        <w:rPr>
          <w:rStyle w:val="CommentTok"/>
        </w:rPr>
        <w:t xml:space="preserve"># Slides 48–53: Aprendizagem preguiçosa (k-NN)</w:t>
      </w:r>
      <w:r>
        <w:br/>
      </w:r>
      <w:r>
        <w:rPr>
          <w:rStyle w:val="NormalTok"/>
        </w:rPr>
        <w:t xml:space="preserve">model_knn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model_knn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(model_knn, iris_train)</w:t>
      </w:r>
      <w:r>
        <w:br/>
      </w:r>
      <w:r>
        <w:rPr>
          <w:rStyle w:val="NormalTok"/>
        </w:rPr>
        <w:t xml:space="preserve">res_knn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(model_knn,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bookmarkEnd w:id="27"/>
    <w:bookmarkStart w:id="28" w:name="Xbfc0380bd864cc5dcaf55c97016668da1dc28eb"/>
    <w:p>
      <w:pPr>
        <w:pStyle w:val="Heading2"/>
      </w:pPr>
      <w:r>
        <w:t xml:space="preserve">Outras Famílias (SVM, Random Forest, MLP, Tuning)</w:t>
      </w:r>
    </w:p>
    <w:p>
      <w:pPr>
        <w:pStyle w:val="FirstParagraph"/>
      </w:pPr>
      <w:r>
        <w:t xml:space="preserve">Para completar o panorama de métodos, demonstramos classificadores de margem máxima (SVM), ensembles (Random Forest), redes neurais (MLP) e ajuste de hiperparâmetros.</w:t>
      </w:r>
      <w:r>
        <w:br/>
      </w:r>
      <w:r>
        <w:t xml:space="preserve">Slides: 7–8.</w:t>
      </w:r>
    </w:p>
    <w:p>
      <w:pPr>
        <w:pStyle w:val="SourceCode"/>
      </w:pPr>
      <w:r>
        <w:rPr>
          <w:rStyle w:val="CommentTok"/>
        </w:rPr>
        <w:t xml:space="preserve"># Slides 7–8: familias de metodos (exemplos adicionais do DALToolbox)</w:t>
      </w:r>
      <w:r>
        <w:br/>
      </w:r>
      <w:r>
        <w:rPr>
          <w:rStyle w:val="CommentTok"/>
        </w:rPr>
        <w:t xml:space="preserve"># SVM</w:t>
      </w:r>
      <w:r>
        <w:br/>
      </w:r>
      <w:r>
        <w:rPr>
          <w:rStyle w:val="NormalTok"/>
        </w:rPr>
        <w:t xml:space="preserve">model_svm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(model_svm, iris_train)</w:t>
      </w:r>
      <w:r>
        <w:br/>
      </w:r>
      <w:r>
        <w:rPr>
          <w:rStyle w:val="NormalTok"/>
        </w:rPr>
        <w:t xml:space="preserve">res_svm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(model_svm,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Random Forest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(model_rf, iris_train)</w:t>
      </w:r>
      <w:r>
        <w:br/>
      </w:r>
      <w:r>
        <w:rPr>
          <w:rStyle w:val="NormalTok"/>
        </w:rPr>
        <w:t xml:space="preserve">res_rf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(model_rf,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model_mlp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(model_mlp, iris_train)</w:t>
      </w:r>
      <w:r>
        <w:br/>
      </w:r>
      <w:r>
        <w:rPr>
          <w:rStyle w:val="NormalTok"/>
        </w:rPr>
        <w:t xml:space="preserve">res_mlp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(model_mlp,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Tuning (SVM)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model_tuned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iris_train)</w:t>
      </w:r>
      <w:r>
        <w:br/>
      </w:r>
      <w:r>
        <w:rPr>
          <w:rStyle w:val="NormalTok"/>
        </w:rPr>
        <w:t xml:space="preserve">res_tuned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(model_tuned,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bookmarkEnd w:id="28"/>
    <w:bookmarkStart w:id="29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Han, J., Pei, J., &amp; Tong, H. (2022).</w:t>
      </w:r>
      <w:r>
        <w:t xml:space="preserve"> </w:t>
      </w:r>
      <w:r>
        <w:rPr>
          <w:i/>
          <w:iCs/>
        </w:rPr>
        <w:t xml:space="preserve">Data Mining: Concepts and Techniques</w:t>
      </w:r>
      <w:r>
        <w:t xml:space="preserve"> </w:t>
      </w:r>
      <w:r>
        <w:t xml:space="preserve">(4th ed.). Morgan Kaufmann.</w:t>
      </w:r>
    </w:p>
    <w:p>
      <w:pPr>
        <w:pStyle w:val="Compact"/>
        <w:numPr>
          <w:ilvl w:val="0"/>
          <w:numId w:val="1001"/>
        </w:numPr>
      </w:pPr>
      <w:r>
        <w:t xml:space="preserve">Mitchell, T. (1997).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p>
      <w:pPr>
        <w:pStyle w:val="Compact"/>
        <w:numPr>
          <w:ilvl w:val="0"/>
          <w:numId w:val="1001"/>
        </w:numPr>
      </w:pPr>
      <w:r>
        <w:t xml:space="preserve">Bishop, C. M. (2006).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Springer.</w:t>
      </w:r>
    </w:p>
    <w:p>
      <w:pPr>
        <w:pStyle w:val="Compact"/>
        <w:numPr>
          <w:ilvl w:val="0"/>
          <w:numId w:val="1001"/>
        </w:numPr>
      </w:pPr>
      <w:r>
        <w:t xml:space="preserve">Cortes, C., &amp; Vapnik, V. (1995). Support-Vector Networks.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20(3), 273–297.</w:t>
      </w:r>
    </w:p>
    <w:p>
      <w:pPr>
        <w:pStyle w:val="Compact"/>
        <w:numPr>
          <w:ilvl w:val="0"/>
          <w:numId w:val="1001"/>
        </w:numPr>
      </w:pPr>
      <w:r>
        <w:t xml:space="preserve">Breiman, L. (2001). Random Forests.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45(1), 5–32.</w:t>
      </w:r>
    </w:p>
    <w:p>
      <w:pPr>
        <w:pStyle w:val="Compact"/>
        <w:numPr>
          <w:ilvl w:val="0"/>
          <w:numId w:val="1001"/>
        </w:numPr>
      </w:pPr>
      <w:r>
        <w:t xml:space="preserve">Cover, T., &amp; Hart, P. (1967). Nearest neighbor pattern classification.</w:t>
      </w:r>
      <w:r>
        <w:t xml:space="preserve"> </w:t>
      </w:r>
      <w:r>
        <w:rPr>
          <w:i/>
          <w:iCs/>
        </w:rPr>
        <w:t xml:space="preserve">IEEE Trans. Information Theory</w:t>
      </w:r>
      <w:r>
        <w:t xml:space="preserve">, 13(1), 21–27.</w:t>
      </w:r>
    </w:p>
    <w:p>
      <w:pPr>
        <w:pStyle w:val="Compact"/>
        <w:numPr>
          <w:ilvl w:val="0"/>
          <w:numId w:val="1001"/>
        </w:numPr>
      </w:pPr>
      <w:r>
        <w:t xml:space="preserve">Hosmer, D., Lemeshow, S., &amp; Sturdivant, R. (2013).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 </w:t>
      </w:r>
      <w:r>
        <w:t xml:space="preserve">(3rd ed.). Wiley.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2026-02-12T00:06:42Z</dcterms:created>
  <dcterms:modified xsi:type="dcterms:W3CDTF">2026-02-12T00:06:42Z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