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Ibx50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link do IBX-50</w:t>
      </w:r>
      <w:r>
        <w:t xml:space="preserve"> </w:t>
      </w:r>
      <w:hyperlink r:id="rId9">
        <w:r>
          <w:rPr>
            <w:rStyle w:val="Hyperlink"/>
          </w:rPr>
          <w:t xml:space="preserve">https://sistemaswebb3-listados.b3.com.br/indexPage/day/IBXL?language=pt-br</w:t>
        </w:r>
      </w:hyperlink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CommentTok"/>
        </w:rPr>
        <w:t xml:space="preserve">#link do IBX-50</w:t>
      </w:r>
      <w:r>
        <w:br/>
      </w:r>
      <w:r>
        <w:rPr>
          <w:rStyle w:val="CommentTok"/>
        </w:rPr>
        <w:t xml:space="preserve">#https://sistemaswebb3-listados.b3.com.br/indexPage/day/IBXL?language=pt-br</w:t>
      </w:r>
      <w:r>
        <w:br/>
      </w:r>
      <w:r>
        <w:br/>
      </w:r>
      <w:r>
        <w:br/>
      </w:r>
      <w:r>
        <w:rPr>
          <w:rStyle w:val="CommentTok"/>
        </w:rPr>
        <w:t xml:space="preserve"># Carregar bibliotecas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(quantmod)</w:t>
      </w:r>
      <w:r>
        <w:br/>
      </w:r>
      <w:r>
        <w:br/>
      </w:r>
      <w:r>
        <w:rPr>
          <w:rStyle w:val="NormalTok"/>
        </w:rPr>
        <w:t xml:space="preserve">ibx50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"ibx50.xlsx"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(ibx50)) {</w:t>
      </w:r>
      <w:r>
        <w:br/>
      </w:r>
      <w:r>
        <w:rPr>
          <w:rStyle w:val="NormalTok"/>
        </w:rPr>
        <w:t xml:space="preserve">  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"%s.SA"</w:t>
      </w:r>
      <w:r>
        <w:rPr>
          <w:rStyle w:val="NormalTok"/>
        </w:rPr>
        <w:t xml:space="preserve">, ibx50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Code[i])</w:t>
      </w:r>
      <w:r>
        <w:br/>
      </w:r>
      <w:r>
        <w:rPr>
          <w:rStyle w:val="NormalTok"/>
        </w:rPr>
        <w:t xml:space="preserve">  data_inicio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'2000-01-01'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data_fim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getSymbols</w:t>
      </w:r>
      <w:r>
        <w:rPr>
          <w:rStyle w:val="NormalTok"/>
        </w:rPr>
        <w:t xml:space="preserve">(ticker, </w:t>
      </w:r>
      <w:r>
        <w:rPr>
          <w:rStyle w:val="AttributeTok"/>
        </w:rPr>
        <w:t xml:space="preserve">src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"yahoo"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data_inicio,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data_fim)</w:t>
      </w:r>
      <w:r>
        <w:br/>
      </w:r>
      <w:r>
        <w:rPr>
          <w:rStyle w:val="NormalTok"/>
        </w:rPr>
        <w:t xml:space="preserve">  prices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  dataset[[i]]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</w:t>
      </w:r>
      <w:r>
        <w:rPr>
          <w:rStyle w:val="NormalTok"/>
        </w:rPr>
        <w:t xml:space="preserve">(prices),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open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high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Hi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close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Vo</w:t>
      </w:r>
      <w:r>
        <w:rPr>
          <w:rStyle w:val="NormalTok"/>
        </w:rPr>
        <w:t xml:space="preserve">(prices)))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(dataset)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ibx50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Code[i]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istemaswebb3-listados.b3.com.br/indexPage/day/IBXL?language=pt-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istemaswebb3-listados.b3.com.br/indexPage/day/IBXL?language=pt-b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Ibx50</dc:title>
  <dc:creator/>
  <cp:keywords/>
  <dcterms:created xsi:type="dcterms:W3CDTF">2026-03-23T12:46:29Z</dcterms:created>
  <dcterms:modified xsi:type="dcterms:W3CDTF">2026-03-23T12:46:29Z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