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BigQuery Examples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folder groups the BigQuery-oriented materials. The rendered example below is available under</w:t>
      </w:r>
      <w:r>
        <w:t xml:space="preserve"> </w:t>
      </w:r>
      <w:r>
        <w:rPr>
          <w:rStyle w:val="VerbatimChar"/>
        </w:rPr>
        <w:t xml:space="preserve">../../examples/bigquery/</w:t>
      </w:r>
      <w:r>
        <w:t xml:space="preserve">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BigQuery Walkthrough</w:t>
        </w:r>
      </w:hyperlink>
      <w:r>
        <w:t xml:space="preserve"> </w:t>
      </w:r>
      <w:r>
        <w:t xml:space="preserve">- Query BigQuery tables, join geographic data, and derive simple population-based estimates.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examples/bigquery/BigQue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examples/bigquery/BigQue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BigQuery Examples</dc:title>
  <dc:creator/>
  <cp:keywords/>
  <dcterms:created xsi:type="dcterms:W3CDTF">2026-03-23T13:20:58Z</dcterms:created>
  <dcterms:modified xsi:type="dcterms:W3CDTF">2026-03-23T13:20:58Z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