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Mobility Examples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mobility-processing materials. The rendered example below is available under</w:t>
      </w:r>
      <w:r>
        <w:t xml:space="preserve"> </w:t>
      </w:r>
      <w:r>
        <w:rPr>
          <w:rStyle w:val="VerbatimChar"/>
        </w:rPr>
        <w:t xml:space="preserve">../../examples/mobility/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Merge and Save Mobility Data</w:t>
        </w:r>
      </w:hyperlink>
      <w:r>
        <w:t xml:space="preserve"> </w:t>
      </w:r>
      <w:r>
        <w:t xml:space="preserve">- Combine partitioned mobility data into a single output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mobility/02-merge-and-sav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mobility/02-merge-and-sav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Mobility Examples</dc:title>
  <dc:creator/>
  <cp:keywords/>
  <dcterms:created xsi:type="dcterms:W3CDTF">2026-03-23T13:21:01Z</dcterms:created>
  <dcterms:modified xsi:type="dcterms:W3CDTF">2026-03-23T13:21:01Z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