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Stocks Examples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the stock-market-related examples. The rendered example below is available under</w:t>
      </w:r>
      <w:r>
        <w:t xml:space="preserve"> </w:t>
      </w:r>
      <w:r>
        <w:rPr>
          <w:rStyle w:val="VerbatimChar"/>
        </w:rPr>
        <w:t xml:space="preserve">../../examples/stocks/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IBX50 Example</w:t>
        </w:r>
      </w:hyperlink>
      <w:r>
        <w:t xml:space="preserve"> </w:t>
      </w:r>
      <w:r>
        <w:t xml:space="preserve">- Load and explore the IBX50 stock dataset with a small analysis workflow.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examples/stocks/ibx5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examples/stocks/ibx5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Stocks Examples</dc:title>
  <dc:creator/>
  <cp:keywords/>
  <dcterms:created xsi:type="dcterms:W3CDTF">2026-03-23T13:23:33Z</dcterms:created>
  <dcterms:modified xsi:type="dcterms:W3CDTF">2026-03-23T13:23:33Z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