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folder groups the BigQuery-oriented materials. The rendered example below is available under</w:t>
      </w:r>
      <w:r>
        <w:t xml:space="preserve"> </w:t>
      </w:r>
      <w:r>
        <w:rPr>
          <w:rStyle w:val="VerbatimChar"/>
        </w:rPr>
        <w:t xml:space="preserve">examples/bigquery/</w:t>
      </w:r>
      <w:r>
        <w:t xml:space="preserve">.</w:t>
      </w:r>
    </w:p>
    <w:p>
      <w:pPr>
        <w:pStyle w:val="BodyText"/>
      </w:pPr>
      <w:r>
        <w:t xml:space="preserve">Examples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BigQuery Walkthrough</w:t>
        </w:r>
      </w:hyperlink>
      <w:r>
        <w:t xml:space="preserve"> </w:t>
      </w:r>
      <w:r>
        <w:t xml:space="preserve">- Query BigQuery tables, join geographic data, and derive simple population-based estimates.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amples/bigquery/BigQue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amples/bigquery/BigQuer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2026-03-23T15:08:23Z</dcterms:created>
  <dcterms:modified xsi:type="dcterms:W3CDTF">2026-03-23T15:08:23Z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