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mobility-processing materials. The rendered example below is available under</w:t>
      </w:r>
      <w:r>
        <w:t xml:space="preserve"> </w:t>
      </w:r>
      <w:r>
        <w:rPr>
          <w:rStyle w:val="VerbatimChar"/>
        </w:rPr>
        <w:t xml:space="preserve">examples/mobility/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Merge and Save Mobility Data</w:t>
        </w:r>
      </w:hyperlink>
      <w:r>
        <w:t xml:space="preserve"> </w:t>
      </w:r>
      <w:r>
        <w:t xml:space="preserve">- Combine partitioned mobility data into a single output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mobility/02-merge-and-sav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mobility/02-merge-and-sav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2026-03-23T15:08:24Z</dcterms:created>
  <dcterms:modified xsi:type="dcterms:W3CDTF">2026-03-23T15:08:24Z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