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the R/Python interoperability materials built with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. The rendered example below is available under</w:t>
      </w:r>
      <w:r>
        <w:t xml:space="preserve"> </w:t>
      </w:r>
      <w:r>
        <w:rPr>
          <w:rStyle w:val="VerbatimChar"/>
        </w:rPr>
        <w:t xml:space="preserve">examples/reticulate/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Invoke Python from R with Reticulate</w:t>
        </w:r>
      </w:hyperlink>
      <w:r>
        <w:t xml:space="preserve"> </w:t>
      </w:r>
      <w:r>
        <w:t xml:space="preserve">- Exchange data and function calls between R and Python.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xamples/reticulate/02-invoke-reticul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amples/reticulate/02-invoke-reticul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2026-03-23T15:09:21Z</dcterms:created>
  <dcterms:modified xsi:type="dcterms:W3CDTF">2026-03-23T15:09:21Z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