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complementary tutorial materials outside the main statistics track. The rendered examples below are available under</w:t>
      </w:r>
      <w:r>
        <w:t xml:space="preserve"> </w:t>
      </w:r>
      <w:r>
        <w:rPr>
          <w:rStyle w:val="VerbatimChar"/>
        </w:rPr>
        <w:t xml:space="preserve">examples/tutorial/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Additional Graphics Examples</w:t>
        </w:r>
      </w:hyperlink>
      <w:r>
        <w:t xml:space="preserve"> </w:t>
      </w:r>
      <w:r>
        <w:t xml:space="preserve">- Small plotting demonstrations complementary to the statistics material.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Plot Drift Example</w:t>
        </w:r>
      </w:hyperlink>
      <w:r>
        <w:t xml:space="preserve"> </w:t>
      </w:r>
      <w:r>
        <w:t xml:space="preserve">- Illustrate how distribution drift can be visualized over time.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tutorial/graphics_extra.md" TargetMode="External" /><Relationship Type="http://schemas.openxmlformats.org/officeDocument/2006/relationships/hyperlink" Id="rId10" Target="examples/tutorial/plot_dri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tutorial/graphics_extra.md" TargetMode="External" /><Relationship Type="http://schemas.openxmlformats.org/officeDocument/2006/relationships/hyperlink" Id="rId10" Target="examples/tutorial/plot_dri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2026-03-23T15:09:41Z</dcterms:created>
  <dcterms:modified xsi:type="dcterms:W3CDTF">2026-03-23T15:09:41Z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