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BigQuery-oriented materials. The rendered example below is available under</w:t>
      </w:r>
      <w:r>
        <w:t xml:space="preserve"> </w:t>
      </w:r>
      <w:r>
        <w:rPr>
          <w:rStyle w:val="VerbatimChar"/>
        </w:rPr>
        <w:t xml:space="preserve">examples/bigquery/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BigQuery Walkthrough</w:t>
        </w:r>
      </w:hyperlink>
      <w:r>
        <w:t xml:space="preserve"> </w:t>
      </w:r>
      <w:r>
        <w:t xml:space="preserve">- Query BigQuery tables, join geographic data, and derive simple population-based estimates.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bigquery/BigQue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bigquery/BigQue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2026-03-23T14:05:00Z</dcterms:created>
  <dcterms:modified xsi:type="dcterms:W3CDTF">2026-03-23T14:05:00Z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