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mobility-processing materials. The rendered example below is available under</w:t>
      </w:r>
      <w:r>
        <w:t xml:space="preserve"> </w:t>
      </w:r>
      <w:r>
        <w:rPr>
          <w:rStyle w:val="VerbatimChar"/>
        </w:rPr>
        <w:t xml:space="preserve">examples/mobility/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Merge and Save Mobility Data</w:t>
        </w:r>
      </w:hyperlink>
      <w:r>
        <w:t xml:space="preserve"> </w:t>
      </w:r>
      <w:r>
        <w:t xml:space="preserve">- Combine partitioned mobility data into a single output artifact.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mobility/02-merge-and-sav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mobility/02-merge-and-sav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2026-03-23T14:05:01Z</dcterms:created>
  <dcterms:modified xsi:type="dcterms:W3CDTF">2026-03-23T14:05:01Z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