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visualizacao-de-dados"/>
    <w:p>
      <w:pPr>
        <w:pStyle w:val="Heading1"/>
      </w:pPr>
      <w:r>
        <w:t xml:space="preserve">Visualizacao de Dados</w:t>
      </w:r>
    </w:p>
    <w:bookmarkStart w:id="20" w:name="visao-geral"/>
    <w:p>
      <w:pPr>
        <w:pStyle w:val="Heading2"/>
      </w:pPr>
      <w:r>
        <w:t xml:space="preserve">Visao Geral</w:t>
      </w:r>
    </w:p>
    <w:p>
      <w:pPr>
        <w:pStyle w:val="FirstParagraph"/>
      </w:pPr>
      <w:r>
        <w:t xml:space="preserve">Este roteiro operacionaliza os exemplos do arquivo</w:t>
      </w:r>
      <w:r>
        <w:t xml:space="preserve"> </w:t>
      </w:r>
      <w:r>
        <w:rPr>
          <w:rStyle w:val="VerbatimChar"/>
        </w:rPr>
        <w:t xml:space="preserve">03-DataVisualization.pdf</w:t>
      </w:r>
      <w:r>
        <w:t xml:space="preserve">, conectando cada trecho de codigo ao slide de origem.</w:t>
      </w:r>
      <w:r>
        <w:br/>
      </w:r>
      <w:r>
        <w:t xml:space="preserve">O objetivo e mostrar como a escolha do grafico muda a interpretacao dos dados e como o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simplifica a interface com o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(Wickham, 2016).</w:t>
      </w:r>
      <w:r>
        <w:br/>
      </w:r>
      <w:r>
        <w:t xml:space="preserve">Slides: 1.</w:t>
      </w:r>
    </w:p>
    <w:bookmarkEnd w:id="20"/>
    <w:bookmarkStart w:id="21" w:name="como-ler-este-roteiro"/>
    <w:p>
      <w:pPr>
        <w:pStyle w:val="Heading2"/>
      </w:pPr>
      <w:r>
        <w:t xml:space="preserve">Como ler este roteiro</w:t>
      </w:r>
    </w:p>
    <w:p>
      <w:pPr>
        <w:pStyle w:val="FirstParagraph"/>
      </w:pPr>
      <w:r>
        <w:t xml:space="preserve">Para cada grafico, avalie sempre:</w:t>
      </w:r>
      <w:r>
        <w:t xml:space="preserve"> </w:t>
      </w:r>
      <w:r>
        <w:t xml:space="preserve">1. qual pergunta o grafico responde;</w:t>
      </w:r>
      <w:r>
        <w:t xml:space="preserve"> </w:t>
      </w:r>
      <w:r>
        <w:t xml:space="preserve">2. qual variavel esta no eixo x/y (ou categoria);</w:t>
      </w:r>
      <w:r>
        <w:t xml:space="preserve"> </w:t>
      </w:r>
      <w:r>
        <w:t xml:space="preserve">3. qual a principal limitacao visual daquele tipo de representacao.</w:t>
      </w:r>
    </w:p>
    <w:bookmarkEnd w:id="21"/>
    <w:bookmarkStart w:id="22" w:name="configuracao-e-bibliotecas"/>
    <w:p>
      <w:pPr>
        <w:pStyle w:val="Heading2"/>
      </w:pPr>
      <w:r>
        <w:t xml:space="preserve">Configuracao e Bibliotecas</w:t>
      </w:r>
    </w:p>
    <w:p>
      <w:pPr>
        <w:pStyle w:val="FirstParagraph"/>
      </w:pPr>
      <w:r>
        <w:t xml:space="preserve">Slides: 2-7.</w:t>
      </w:r>
    </w:p>
    <w:p>
      <w:pPr>
        <w:pStyle w:val="SourceCode"/>
      </w:pPr>
      <w:r>
        <w:rPr>
          <w:rStyle w:val="CommentTok"/>
        </w:rPr>
        <w:t xml:space="preserve"># Instalacao (executar apenas uma vez)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install.packages("ggplot2")</w:t>
      </w:r>
      <w:r>
        <w:br/>
      </w:r>
      <w:r>
        <w:rPr>
          <w:rStyle w:val="CommentTok"/>
        </w:rPr>
        <w:t xml:space="preserve"># install.packages("RColorBrewer")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</w:p>
    <w:p>
      <w:pPr>
        <w:pStyle w:val="FirstParagraph"/>
      </w:pPr>
      <w:r>
        <w:t xml:space="preserve">Neste conjunto de exemplos, usamos o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como base didatica para manter comparabilidade entre graficos.</w:t>
      </w:r>
      <w:r>
        <w:br/>
      </w:r>
      <w:r>
        <w:t xml:space="preserve">Slides: 7.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</w:p>
    <w:p>
      <w:pPr>
        <w:pStyle w:val="FirstParagraph"/>
      </w:pPr>
      <w:r>
        <w:t xml:space="preserve">Configuramos paleta qualitativa do ColorBrewer para classes e um tema com fonte maior para leitura em aula.</w:t>
      </w:r>
      <w:r>
        <w:br/>
      </w:r>
      <w:r>
        <w:t xml:space="preserve">Slides: 5-6.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bookmarkEnd w:id="22"/>
    <w:bookmarkStart w:id="26" w:name="grafico-de-dispersao"/>
    <w:p>
      <w:pPr>
        <w:pStyle w:val="Heading2"/>
      </w:pPr>
      <w:r>
        <w:t xml:space="preserve">Grafico de Dispersao</w:t>
      </w:r>
    </w:p>
    <w:p>
      <w:pPr>
        <w:pStyle w:val="FirstParagraph"/>
      </w:pPr>
      <w:r>
        <w:t xml:space="preserve">Mostra relacao entre duas variaveis continuas e separacao por classe.</w:t>
      </w:r>
      <w:r>
        <w:br/>
      </w:r>
      <w:r>
        <w:t xml:space="preserve">Slides: 8.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08_scatter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grafico-de-barras"/>
    <w:p>
      <w:pPr>
        <w:pStyle w:val="Heading2"/>
      </w:pPr>
      <w:r>
        <w:t xml:space="preserve">Grafico de Barras</w:t>
      </w:r>
    </w:p>
    <w:p>
      <w:pPr>
        <w:pStyle w:val="FirstParagraph"/>
      </w:pPr>
      <w:r>
        <w:t xml:space="preserve">Resume uma estatistica por categoria; aqui usamos media por especie.</w:t>
      </w:r>
      <w:r>
        <w:br/>
      </w:r>
      <w:r>
        <w:t xml:space="preserve">Slides: 9.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09_bar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lollipop"/>
    <w:p>
      <w:pPr>
        <w:pStyle w:val="Heading2"/>
      </w:pPr>
      <w:r>
        <w:t xml:space="preserve">Lollipop</w:t>
      </w:r>
    </w:p>
    <w:p>
      <w:pPr>
        <w:pStyle w:val="FirstParagraph"/>
      </w:pPr>
      <w:r>
        <w:t xml:space="preserve">Alternativa ao grafico de barras, com menos area preenchida e foco na magnitude.</w:t>
      </w:r>
      <w:r>
        <w:br/>
      </w:r>
      <w:r>
        <w:t xml:space="preserve">Slides: 10.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0_lollipop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barras-com-erro"/>
    <w:p>
      <w:pPr>
        <w:pStyle w:val="Heading2"/>
      </w:pPr>
      <w:r>
        <w:t xml:space="preserve">Barras com Erro</w:t>
      </w:r>
    </w:p>
    <w:p>
      <w:pPr>
        <w:pStyle w:val="FirstParagraph"/>
      </w:pPr>
      <w:r>
        <w:t xml:space="preserve">Acrescenta incerteza (desvio-padrao) ao valor medio, evitando leitura excessivamente deterministica.</w:t>
      </w:r>
      <w:r>
        <w:br/>
      </w:r>
      <w:r>
        <w:t xml:space="preserve">Slides: 11.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sd,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sd),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1_bar_error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pizza"/>
    <w:p>
      <w:pPr>
        <w:pStyle w:val="Heading2"/>
      </w:pPr>
      <w:r>
        <w:t xml:space="preserve">Pizza</w:t>
      </w:r>
    </w:p>
    <w:p>
      <w:pPr>
        <w:pStyle w:val="FirstParagraph"/>
      </w:pPr>
      <w:r>
        <w:t xml:space="preserve">Util para composicao simples; para muitas categorias, barras costumam ser mais legiveis.</w:t>
      </w:r>
      <w:r>
        <w:br/>
      </w:r>
      <w:r>
        <w:t xml:space="preserve">Slides: 12.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2_pie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barras-agrupadas"/>
    <w:p>
      <w:pPr>
        <w:pStyle w:val="Heading2"/>
      </w:pPr>
      <w:r>
        <w:t xml:space="preserve">Barras Agrupadas</w:t>
      </w:r>
    </w:p>
    <w:p>
      <w:pPr>
        <w:pStyle w:val="FirstParagraph"/>
      </w:pPr>
      <w:r>
        <w:t xml:space="preserve">Permite comparar mais de uma metrica para cada categoria.</w:t>
      </w:r>
      <w:r>
        <w:br/>
      </w:r>
      <w:r>
        <w:t xml:space="preserve">Slides: 13.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3_grouped_bar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barras-empilhadas"/>
    <w:p>
      <w:pPr>
        <w:pStyle w:val="Heading2"/>
      </w:pPr>
      <w:r>
        <w:t xml:space="preserve">Barras Empilhadas</w:t>
      </w:r>
    </w:p>
    <w:p>
      <w:pPr>
        <w:pStyle w:val="FirstParagraph"/>
      </w:pPr>
      <w:r>
        <w:t xml:space="preserve">Mostra total e composicao no mesmo eixo, com trade-off de precisao para comparar segmentos internos.</w:t>
      </w:r>
      <w:r>
        <w:br/>
      </w:r>
      <w:r>
        <w:t xml:space="preserve">Slides: 14.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4_stacked_bar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grafico-de-linhas"/>
    <w:p>
      <w:pPr>
        <w:pStyle w:val="Heading2"/>
      </w:pPr>
      <w:r>
        <w:t xml:space="preserve">Grafico de Linhas</w:t>
      </w:r>
    </w:p>
    <w:p>
      <w:pPr>
        <w:pStyle w:val="FirstParagraph"/>
      </w:pPr>
      <w:r>
        <w:t xml:space="preserve">Ideal para series ordenadas no tempo ou em eixo continuo.</w:t>
      </w:r>
      <w:r>
        <w:br/>
      </w:r>
      <w:r>
        <w:t xml:space="preserve">Slides: 15.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5_line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71" w:name="distribuicoes"/>
    <w:p>
      <w:pPr>
        <w:pStyle w:val="Heading2"/>
      </w:pPr>
      <w:r>
        <w:t xml:space="preserve">Distribuicoes</w:t>
      </w:r>
    </w:p>
    <w:p>
      <w:pPr>
        <w:pStyle w:val="FirstParagraph"/>
      </w:pPr>
      <w:r>
        <w:t xml:space="preserve">Antes de modelar, avaliamos forma, dispersao e presenca de assimetria/outliers.</w:t>
      </w:r>
      <w:r>
        <w:br/>
      </w:r>
      <w:r>
        <w:t xml:space="preserve">Slides: 16-17.</w:t>
      </w:r>
    </w:p>
    <w:p>
      <w:pPr>
        <w:pStyle w:val="SourceCode"/>
      </w:pP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0.03104649 3.413694 5.014575</w:t>
      </w:r>
      <w:r>
        <w:br/>
      </w:r>
      <w:r>
        <w:rPr>
          <w:rStyle w:val="VerbatimChar"/>
        </w:rPr>
        <w:t xml:space="preserve">## 2  2.48866129 3.136429 4.478718</w:t>
      </w:r>
      <w:r>
        <w:br/>
      </w:r>
      <w:r>
        <w:rPr>
          <w:rStyle w:val="VerbatimChar"/>
        </w:rPr>
        <w:t xml:space="preserve">## 3  0.31894056 2.977909 5.841965</w:t>
      </w:r>
      <w:r>
        <w:br/>
      </w:r>
      <w:r>
        <w:rPr>
          <w:rStyle w:val="VerbatimChar"/>
        </w:rPr>
        <w:t xml:space="preserve">## 4  0.97487311 2.514843 3.769198</w:t>
      </w:r>
      <w:r>
        <w:br/>
      </w:r>
      <w:r>
        <w:rPr>
          <w:rStyle w:val="VerbatimChar"/>
        </w:rPr>
        <w:t xml:space="preserve">## 5  4.09878313 3.209264 5.192472</w:t>
      </w:r>
      <w:r>
        <w:br/>
      </w:r>
      <w:r>
        <w:rPr>
          <w:rStyle w:val="VerbatimChar"/>
        </w:rPr>
        <w:t xml:space="preserve">## 6  6.07419799 3.130380 5.219882</w:t>
      </w:r>
    </w:p>
    <w:bookmarkStart w:id="58" w:name="histograma"/>
    <w:p>
      <w:pPr>
        <w:pStyle w:val="Heading3"/>
      </w:pPr>
      <w:r>
        <w:t xml:space="preserve">Histograma</w:t>
      </w:r>
    </w:p>
    <w:p>
      <w:pPr>
        <w:pStyle w:val="FirstParagraph"/>
      </w:pPr>
      <w:r>
        <w:t xml:space="preserve">Mostra frequencias por intervalo e e sensivel ao numero/largura de bins.</w:t>
      </w:r>
      <w:r>
        <w:br/>
      </w:r>
      <w:r>
        <w:t xml:space="preserve">Slides: 18.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exponential)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8_hist-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histogramas-multiplos"/>
    <w:p>
      <w:pPr>
        <w:pStyle w:val="Heading3"/>
      </w:pPr>
      <w:r>
        <w:t xml:space="preserve">Histogramas Multiplos</w:t>
      </w:r>
    </w:p>
    <w:p>
      <w:pPr>
        <w:pStyle w:val="FirstParagraph"/>
      </w:pPr>
      <w:r>
        <w:t xml:space="preserve">Comparacao lado a lado para identificar diferencas de forma entre distribuicoes.</w:t>
      </w:r>
      <w:r>
        <w:br/>
      </w:r>
      <w:r>
        <w:t xml:space="preserve">Slides: 19.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NormalTok"/>
        </w:rPr>
        <w:t xml:space="preserve">  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exponential),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uniform),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19_hist_multi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densidade"/>
    <w:p>
      <w:pPr>
        <w:pStyle w:val="Heading3"/>
      </w:pPr>
      <w:r>
        <w:t xml:space="preserve">Densidade</w:t>
      </w:r>
    </w:p>
    <w:p>
      <w:pPr>
        <w:pStyle w:val="FirstParagraph"/>
      </w:pPr>
      <w:r>
        <w:t xml:space="preserve">Estimativa suavizada da distribuicao; util para comparar formatos sem depender de bins.</w:t>
      </w:r>
      <w:r>
        <w:br/>
      </w:r>
      <w:r>
        <w:t xml:space="preserve">Slides: 20.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20_density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0" w:name="boxplot"/>
    <w:p>
      <w:pPr>
        <w:pStyle w:val="Heading3"/>
      </w:pPr>
      <w:r>
        <w:t xml:space="preserve">Boxplot</w:t>
      </w:r>
    </w:p>
    <w:p>
      <w:pPr>
        <w:pStyle w:val="FirstParagraph"/>
      </w:pPr>
      <w:r>
        <w:t xml:space="preserve">Resumo robusto com mediana, quartis e possiveis outliers.</w:t>
      </w:r>
      <w:r>
        <w:br/>
      </w:r>
      <w:r>
        <w:t xml:space="preserve">Slides: 21.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:/Git/eogasawara/pratica-pesquisa/examples/Rmd/doc/02-DataVisualization_files/figure-docx/s21_box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2" w:name="boas-praticas-de-uso-em-aula"/>
    <w:p>
      <w:pPr>
        <w:pStyle w:val="Heading2"/>
      </w:pPr>
      <w:r>
        <w:t xml:space="preserve">Boas Praticas de Uso em Aula</w:t>
      </w:r>
    </w:p>
    <w:p>
      <w:pPr>
        <w:pStyle w:val="FirstParagraph"/>
      </w:pPr>
      <w:r>
        <w:t xml:space="preserve">Ao usar estes exemplos em slides e laboratorio, mantenha tres vinculos explicitos:</w:t>
      </w:r>
      <w:r>
        <w:br/>
      </w:r>
      <w:r>
        <w:t xml:space="preserve">1. problema analitico (o que quero mostrar);</w:t>
      </w:r>
      <w:r>
        <w:t xml:space="preserve"> </w:t>
      </w:r>
      <w:r>
        <w:t xml:space="preserve">2. tipo de variavel (continua, categorica, temporal);</w:t>
      </w:r>
      <w:r>
        <w:t xml:space="preserve"> </w:t>
      </w:r>
      <w:r>
        <w:t xml:space="preserve">3. grafico escolhido e suas limitacoes.</w:t>
      </w:r>
      <w:r>
        <w:br/>
      </w:r>
      <w:r>
        <w:t xml:space="preserve">Slides: 22-23.</w:t>
      </w:r>
    </w:p>
    <w:bookmarkEnd w:id="72"/>
    <w:bookmarkStart w:id="74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Slides: 24.</w:t>
      </w:r>
    </w:p>
    <w:p>
      <w:pPr>
        <w:pStyle w:val="Compact"/>
        <w:numPr>
          <w:ilvl w:val="0"/>
          <w:numId w:val="1001"/>
        </w:numPr>
      </w:pPr>
      <w:r>
        <w:t xml:space="preserve">Wickham, H.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 Springer.</w:t>
      </w:r>
    </w:p>
    <w:p>
      <w:pPr>
        <w:pStyle w:val="Compact"/>
        <w:numPr>
          <w:ilvl w:val="0"/>
          <w:numId w:val="1001"/>
        </w:numPr>
      </w:pPr>
      <w:r>
        <w:t xml:space="preserve">Wickham, H., Cetinkaya-Rundel, M., &amp; Grolemund, G. (2023).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 </w:t>
      </w:r>
      <w:r>
        <w:t xml:space="preserve">(2nd ed.). O’Reilly.</w:t>
      </w:r>
    </w:p>
    <w:p>
      <w:pPr>
        <w:pStyle w:val="Compact"/>
        <w:numPr>
          <w:ilvl w:val="0"/>
          <w:numId w:val="1001"/>
        </w:numPr>
      </w:pPr>
      <w:r>
        <w:t xml:space="preserve">Wilke, C. O. (2019).</w:t>
      </w:r>
      <w:r>
        <w:t xml:space="preserve"> </w:t>
      </w:r>
      <w:r>
        <w:rPr>
          <w:i/>
          <w:iCs/>
        </w:rPr>
        <w:t xml:space="preserve">Fundamentals of Data Visualization</w:t>
      </w:r>
      <w:r>
        <w:t xml:space="preserve">. O’Reilly.</w:t>
      </w:r>
    </w:p>
    <w:p>
      <w:pPr>
        <w:pStyle w:val="Compact"/>
        <w:numPr>
          <w:ilvl w:val="0"/>
          <w:numId w:val="1001"/>
        </w:numPr>
      </w:pPr>
      <w:r>
        <w:t xml:space="preserve">Brewer, C. A. (n.d.). ColorBrewer 2.0.</w:t>
      </w:r>
      <w:r>
        <w:t xml:space="preserve"> </w:t>
      </w:r>
      <w:hyperlink r:id="rId73">
        <w:r>
          <w:rPr>
            <w:rStyle w:val="Hyperlink"/>
          </w:rPr>
          <w:t xml:space="preserve">https://colorbrewer2.org</w:t>
        </w:r>
      </w:hyperlink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hyperlink" Id="rId73" Target="https://colorbrewer2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colorbrewer2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2026-02-28T02:59:39Z</dcterms:created>
  <dcterms:modified xsi:type="dcterms:W3CDTF">2026-02-28T02:59:39Z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