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14: ACF e PACF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Gerar ACF e PACF para uma serie AR(1) e ilustrar dependencias temporais.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14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arquivos de saida</w:t>
      </w:r>
      <w:r>
        <w:t xml:space="preserve"> </w:t>
      </w:r>
      <w:r>
        <w:rPr>
          <w:rStyle w:val="VerbatimChar"/>
        </w:rPr>
        <w:t xml:space="preserve">slides/02-14a.png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slides/02-14b.png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slides/02-14.png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Simula um AR(1), plota ACF e PACF em arquivos separados e os concatena.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CommentTok"/>
        </w:rPr>
        <w:t xml:space="preserve"># (a) ACF</w:t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(fa,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TSED_DPI)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acf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"ACF: dependencia temporal AR(1)"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CommentTok"/>
        </w:rPr>
        <w:t xml:space="preserve"># (b) PACF</w:t>
      </w:r>
      <w:r>
        <w:br/>
      </w: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(fb,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TSED_DPI)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pacf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"PACF: assinatura do AR(1)"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CommentTok"/>
        </w:rPr>
        <w:t xml:space="preserve"># Composicao final do slide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"14"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14: ACF e PACF</dc:title>
  <dc:creator/>
  <cp:keywords/>
  <dcterms:created xsi:type="dcterms:W3CDTF">2026-01-26T03:40:22Z</dcterms:created>
  <dcterms:modified xsi:type="dcterms:W3CDTF">2026-01-26T03:40:22Z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