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17: Serie MA(1) e ACF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Gerar uma serie MA(1) e sua ACF para conectar choques passados ao padrao de dependencia.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17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slides/02-17a.png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slides/02-17b.png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slides/02-17.png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um MA(1), plota a serie e a ACF, e concatena as imagens.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 =</w:t>
      </w:r>
      <w:r>
        <w:rPr>
          <w:rStyle w:val="NormalTok"/>
        </w:rPr>
        <w:t xml:space="preserve"> theta),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(a) Serie MA(1)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 MA(1) simulada (theta = "</w:t>
      </w:r>
      <w:r>
        <w:rPr>
          <w:rStyle w:val="NormalTok"/>
        </w:rPr>
        <w:t xml:space="preserve">, theta,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br/>
      </w:r>
      <w:r>
        <w:rPr>
          <w:rStyle w:val="CommentTok"/>
        </w:rPr>
        <w:t xml:space="preserve"># (b) ACF</w:t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do MA(1)"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"17"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17: Serie MA(1) e ACF</dc:title>
  <dc:creator/>
  <cp:keywords/>
  <dcterms:created xsi:type="dcterms:W3CDTF">2026-01-26T03:38:44Z</dcterms:created>
  <dcterms:modified xsi:type="dcterms:W3CDTF">2026-01-26T03:38:44Z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