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04: Dependencia temporal entre observacoes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Contrastar ruido branco (sem dependencia) com um AR(1) (com dependencia).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04, arquivo de saida</w:t>
      </w:r>
      <w:r>
        <w:t xml:space="preserve"> </w:t>
      </w:r>
      <w:r>
        <w:rPr>
          <w:rStyle w:val="VerbatimChar"/>
        </w:rPr>
        <w:t xml:space="preserve">figures/01-04.png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01-04a.png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01-04b.png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ruido branco (sem dependencia temporal)</w:t>
      </w:r>
      <w:r>
        <w:br/>
      </w:r>
      <w:r>
        <w:rPr>
          <w:rStyle w:val="NormalTok"/>
        </w:rPr>
        <w:t xml:space="preserve">x_wn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x_wn_ts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(x_wn,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(x_wn_ts)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 branco"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AR(1) (com dependencia temporal)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x_ar1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x_ar1_ts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(x_ar1,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(x_ar1_ts)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bquote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"AR(1): 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.(phi)),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04: Dependencia temporal entre observacoes</dc:title>
  <dc:creator/>
  <cp:keywords/>
  <dcterms:created xsi:type="dcterms:W3CDTF">2026-01-26T00:38:50Z</dcterms:created>
  <dcterms:modified xsi:type="dcterms:W3CDTF">2026-01-26T00:38:50Z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