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Aula 02 - Slide 14: ACF e PACF</w:t>
      </w:r>
    </w:p>
    <w:bookmarkStart w:id="20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Gerar ACF e PACF para uma serie AR(1) e ilustrar dependencias temporais.</w:t>
      </w:r>
    </w:p>
    <w:bookmarkEnd w:id="20"/>
    <w:bookmarkStart w:id="21" w:name="conexao-com-o-pdf"/>
    <w:p>
      <w:pPr>
        <w:pStyle w:val="Heading2"/>
      </w:pPr>
      <w:r>
        <w:t xml:space="preserve">Conexao com o PDF</w:t>
      </w:r>
    </w:p>
    <w:p>
      <w:pPr>
        <w:pStyle w:val="FirstParagraph"/>
      </w:pPr>
      <w:r>
        <w:t xml:space="preserve">Slide 14 do PDF</w:t>
      </w:r>
      <w:r>
        <w:t xml:space="preserve"> </w:t>
      </w:r>
      <w:r>
        <w:rPr>
          <w:rStyle w:val="VerbatimChar"/>
        </w:rPr>
        <w:t xml:space="preserve">02-Estrutura-Temporal-em-Series-Temporais.pdf</w:t>
      </w:r>
      <w:r>
        <w:t xml:space="preserve">, arquivos de saida</w:t>
      </w:r>
      <w:r>
        <w:t xml:space="preserve"> </w:t>
      </w:r>
      <w:r>
        <w:rPr>
          <w:rStyle w:val="VerbatimChar"/>
        </w:rPr>
        <w:t xml:space="preserve">slides/02-14a.png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slides/02-14b.png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slides/02-14.png</w:t>
      </w:r>
      <w:r>
        <w:t xml:space="preserve">.</w:t>
      </w:r>
    </w:p>
    <w:bookmarkEnd w:id="21"/>
    <w:bookmarkStart w:id="22" w:name="descricao-do-codigo"/>
    <w:p>
      <w:pPr>
        <w:pStyle w:val="Heading2"/>
      </w:pPr>
      <w:r>
        <w:t xml:space="preserve">Descricao do codigo</w:t>
      </w:r>
    </w:p>
    <w:p>
      <w:pPr>
        <w:pStyle w:val="FirstParagraph"/>
      </w:pPr>
      <w:r>
        <w:t xml:space="preserve">Simula um AR(1), plota ACF e PACF em arquivos separados e os concatena.</w:t>
      </w:r>
    </w:p>
    <w:p>
      <w:pPr>
        <w:pStyle w:val="SourceCode"/>
      </w:pPr>
      <w:r>
        <w:rPr>
          <w:rStyle w:val="CommentTok"/>
        </w:rPr>
        <w:t xml:space="preserve"># Didatico: roteiro em 3 passos</w:t>
      </w:r>
      <w:r>
        <w:br/>
      </w:r>
      <w:r>
        <w:rPr>
          <w:rStyle w:val="CommentTok"/>
        </w:rPr>
        <w:t xml:space="preserve"># 1) Carregar dependencias/rotinas auxiliares.</w:t>
      </w:r>
      <w:r>
        <w:br/>
      </w:r>
      <w:r>
        <w:rPr>
          <w:rStyle w:val="CommentTok"/>
        </w:rPr>
        <w:t xml:space="preserve"># 2) Preparar dados e parametros do exemplo.</w:t>
      </w:r>
      <w:r>
        <w:br/>
      </w:r>
      <w:r>
        <w:rPr>
          <w:rStyle w:val="CommentTok"/>
        </w:rPr>
        <w:t xml:space="preserve"># 3) Gerar a figura/resultado esperado.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"https://raw.githubusercontent.com/eogasawara/series-temporais/main/code/utils.R"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214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Didatico: roteiro em 3 passos</w:t>
      </w:r>
      <w:r>
        <w:br/>
      </w:r>
      <w:r>
        <w:rPr>
          <w:rStyle w:val="CommentTok"/>
        </w:rPr>
        <w:t xml:space="preserve"># 1) Carregar dependencias/rotinas auxiliares.</w:t>
      </w:r>
      <w:r>
        <w:br/>
      </w:r>
      <w:r>
        <w:rPr>
          <w:rStyle w:val="CommentTok"/>
        </w:rPr>
        <w:t xml:space="preserve"># 2) Preparar dados e parametros do exemplo.</w:t>
      </w:r>
      <w:r>
        <w:br/>
      </w:r>
      <w:r>
        <w:rPr>
          <w:rStyle w:val="CommentTok"/>
        </w:rPr>
        <w:t xml:space="preserve"># 3) Gerar a figura/resultado esperado.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arima.sim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ar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n)</w:t>
      </w:r>
      <w:r>
        <w:br/>
      </w:r>
      <w:r>
        <w:br/>
      </w:r>
      <w:r>
        <w:rPr>
          <w:rStyle w:val="CommentTok"/>
        </w:rPr>
        <w:t xml:space="preserve"># (a) ACF</w:t>
      </w:r>
      <w:r>
        <w:br/>
      </w:r>
      <w:r>
        <w:rPr>
          <w:rStyle w:val="NormalTok"/>
        </w:rPr>
        <w:t xml:space="preserve">fa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"02"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grDevices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png</w:t>
      </w:r>
      <w:r>
        <w:rPr>
          <w:rStyle w:val="NormalTok"/>
        </w:rPr>
        <w:t xml:space="preserve">(fa,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TSED_WIDTH,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TSED_HEIGHT, </w:t>
      </w:r>
      <w:r>
        <w:rPr>
          <w:rStyle w:val="AttributeTok"/>
        </w:rPr>
        <w:t xml:space="preserve">res =</w:t>
      </w:r>
      <w:r>
        <w:rPr>
          <w:rStyle w:val="NormalTok"/>
        </w:rPr>
        <w:t xml:space="preserve"> TSED_DPI)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acf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"ACF: dependencia temporal AR(1)"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grDevices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dev.off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png </w:t>
      </w:r>
      <w:r>
        <w:br/>
      </w:r>
      <w:r>
        <w:rPr>
          <w:rStyle w:val="VerbatimChar"/>
        </w:rPr>
        <w:t xml:space="preserve">##   2</w:t>
      </w:r>
    </w:p>
    <w:p>
      <w:pPr>
        <w:pStyle w:val="SourceCode"/>
      </w:pPr>
      <w:r>
        <w:rPr>
          <w:rStyle w:val="CommentTok"/>
        </w:rPr>
        <w:t xml:space="preserve"># (b) PACF</w:t>
      </w:r>
      <w:r>
        <w:br/>
      </w:r>
      <w:r>
        <w:rPr>
          <w:rStyle w:val="NormalTok"/>
        </w:rPr>
        <w:t xml:space="preserve">fb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"02"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grDevices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png</w:t>
      </w:r>
      <w:r>
        <w:rPr>
          <w:rStyle w:val="NormalTok"/>
        </w:rPr>
        <w:t xml:space="preserve">(fb,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TSED_WIDTH,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TSED_HEIGHT, </w:t>
      </w:r>
      <w:r>
        <w:rPr>
          <w:rStyle w:val="AttributeTok"/>
        </w:rPr>
        <w:t xml:space="preserve">res =</w:t>
      </w:r>
      <w:r>
        <w:rPr>
          <w:rStyle w:val="NormalTok"/>
        </w:rPr>
        <w:t xml:space="preserve"> TSED_DPI)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pacf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"PACF: assinatura do AR(1)"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grDevices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dev.off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png </w:t>
      </w:r>
      <w:r>
        <w:br/>
      </w:r>
      <w:r>
        <w:rPr>
          <w:rStyle w:val="VerbatimChar"/>
        </w:rPr>
        <w:t xml:space="preserve">##   2</w:t>
      </w:r>
    </w:p>
    <w:p>
      <w:pPr>
        <w:pStyle w:val="SourceCode"/>
      </w:pPr>
      <w:r>
        <w:rPr>
          <w:rStyle w:val="CommentTok"/>
        </w:rPr>
        <w:t xml:space="preserve"># Composicao final do slide</w:t>
      </w:r>
      <w:r>
        <w:br/>
      </w:r>
      <w:r>
        <w:rPr>
          <w:rStyle w:val="NormalTok"/>
        </w:rPr>
        <w:t xml:space="preserve">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"02"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"14"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har_concat_png</w:t>
      </w:r>
      <w:r>
        <w:rPr>
          <w:rStyle w:val="NormalTok"/>
        </w:rPr>
        <w:t xml:space="preserve">(out,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(fa, fb))</w:t>
      </w:r>
    </w:p>
    <w:bookmarkEnd w:id="22"/>
    <w:bookmarkStart w:id="23" w:name="referencia"/>
    <w:p>
      <w:pPr>
        <w:pStyle w:val="Heading2"/>
      </w:pPr>
      <w:r>
        <w:t xml:space="preserve">Referencia</w:t>
      </w:r>
    </w:p>
    <w:p>
      <w:pPr>
        <w:pStyle w:val="FirstParagraph"/>
      </w:pPr>
      <w:r>
        <w:t xml:space="preserve">Hyndman, R.J., Athanasopoulos, G. (2021). Forecasting: Principles and Practice (3rd ed.). OTexts.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Aula 02 - Slide 14: ACF e PACF</dc:title>
  <dc:creator/>
  <cp:keywords/>
  <dcterms:created xsi:type="dcterms:W3CDTF">2026-01-31T17:42:07Z</dcterms:created>
  <dcterms:modified xsi:type="dcterms:W3CDTF">2026-01-31T17:42:07Z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html_document</vt:lpwstr>
  </property>
</Properties>
</file>