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03 - Slide 10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10 da Aula 03.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10 do PDF correspondente da Aula 03.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a) ACF para contraste (opcional didático)</w:t>
      </w:r>
      <w:r>
        <w:br/>
      </w:r>
      <w:r>
        <w:rPr>
          <w:rStyle w:val="NormalTok"/>
        </w:rPr>
        <w:t xml:space="preserve">f_a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f_a,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(AR(2): decaimento)"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b) PACF (corte em p=2)</w:t>
      </w:r>
      <w:r>
        <w:br/>
      </w:r>
      <w:r>
        <w:rPr>
          <w:rStyle w:val="NormalTok"/>
        </w:rPr>
        <w:t xml:space="preserve">f_b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f_b,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 (AR(2): corte após a defasagem 2)"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concat final</w:t>
      </w:r>
      <w:r>
        <w:br/>
      </w:r>
      <w:r>
        <w:rPr>
          <w:rStyle w:val="NormalTok"/>
        </w:rPr>
        <w:t xml:space="preserve">f_out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(f_out,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(f_a, f_b))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03 - Slide 10</dc:title>
  <dc:creator/>
  <cp:keywords/>
  <dcterms:created xsi:type="dcterms:W3CDTF">2026-01-31T17:46:22Z</dcterms:created>
  <dcterms:modified xsi:type="dcterms:W3CDTF">2026-01-31T17:46:22Z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