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Federated Naive Bayes with Real Mixture of Gaussians</w:t>
      </w:r>
    </w:p>
    <w:p>
      <w:pPr>
        <w:spacing w:after="0"/>
        <w:jc w:val="center"/>
      </w:pPr>
      <w:r>
        <w:rPr>
          <w:rFonts w:ascii="Times New Roman" w:cs="Times New Roman" w:eastAsia="Times New Roman" w:hAnsi="Times New Roman"/>
          <w:b/>
          <w:bCs/>
          <w:sz w:val="28"/>
          <w:szCs w:val="28"/>
        </w:rPr>
        <w:t xml:space="preserve">and Institutional Governance Regularization</w:t>
      </w:r>
    </w:p>
    <w:p>
      <w:pPr>
        <w:spacing w:after="160"/>
        <w:jc w:val="center"/>
      </w:pPr>
      <w:r>
        <w:rPr>
          <w:rFonts w:ascii="Times New Roman" w:cs="Times New Roman" w:eastAsia="Times New Roman" w:hAnsi="Times New Roman"/>
          <w:b/>
          <w:bCs/>
          <w:sz w:val="28"/>
          <w:szCs w:val="28"/>
        </w:rPr>
        <w:t xml:space="preserve">for Network Intrusion Detection</w:t>
      </w:r>
    </w:p>
    <w:p>
      <w:pPr>
        <w:spacing w:after="60"/>
        <w:jc w:val="center"/>
      </w:pPr>
      <w:r>
        <w:rPr>
          <w:rFonts w:ascii="Times New Roman" w:cs="Times New Roman" w:eastAsia="Times New Roman" w:hAnsi="Times New Roman"/>
          <w:b/>
          <w:bCs/>
          <w:sz w:val="22"/>
          <w:szCs w:val="22"/>
        </w:rPr>
        <w:t xml:space="preserve">Edgar Oswaldo Herrera Logrono, M.Sc.</w:t>
      </w:r>
    </w:p>
    <w:p>
      <w:pPr>
        <w:spacing w:after="0" w:line="240" w:lineRule="auto"/>
        <w:jc w:val="center"/>
      </w:pPr>
      <w:r>
        <w:rPr>
          <w:rFonts w:ascii="Times New Roman" w:cs="Times New Roman" w:eastAsia="Times New Roman" w:hAnsi="Times New Roman"/>
          <w:i/>
          <w:iCs/>
          <w:sz w:val="20"/>
          <w:szCs w:val="20"/>
        </w:rPr>
        <w:t xml:space="preserve">Doctoral Candidate, Program in Computer Science Technologies</w:t>
      </w:r>
    </w:p>
    <w:p>
      <w:pPr>
        <w:spacing w:after="0" w:line="240" w:lineRule="auto"/>
        <w:jc w:val="center"/>
      </w:pPr>
      <w:r>
        <w:rPr>
          <w:rFonts w:ascii="Times New Roman" w:cs="Times New Roman" w:eastAsia="Times New Roman" w:hAnsi="Times New Roman"/>
          <w:i/>
          <w:iCs/>
          <w:sz w:val="20"/>
          <w:szCs w:val="20"/>
        </w:rPr>
        <w:t xml:space="preserve">University of Malaga, Malaga, Spain</w:t>
      </w:r>
    </w:p>
    <w:p>
      <w:pPr>
        <w:spacing w:after="0" w:line="240" w:lineRule="auto"/>
        <w:jc w:val="center"/>
      </w:pPr>
      <w:r>
        <w:rPr>
          <w:rFonts w:ascii="Times New Roman" w:cs="Times New Roman" w:eastAsia="Times New Roman" w:hAnsi="Times New Roman"/>
          <w:i/>
          <w:iCs/>
          <w:sz w:val="20"/>
          <w:szCs w:val="20"/>
        </w:rPr>
        <w:t xml:space="preserve">Supervisors: Prof. Ezequiel Lopez Rubio · Prof. Juan Miguel Ortiz de Lazcano</w:t>
      </w:r>
    </w:p>
    <w:p>
      <w:pPr>
        <w:spacing w:after="160"/>
        <w:jc w:val="center"/>
      </w:pPr>
      <w:r>
        <w:rPr>
          <w:rFonts w:ascii="Times New Roman" w:cs="Times New Roman" w:eastAsia="Times New Roman" w:hAnsi="Times New Roman"/>
          <w:color w:val="1F4E79"/>
          <w:sz w:val="18"/>
          <w:szCs w:val="18"/>
        </w:rPr>
        <w:t xml:space="preserve">https://github.com/eoherrera/EJD-UMA-FedNB-GRC</w:t>
      </w:r>
    </w:p>
    <w:p>
      <w:pPr>
        <w:pBdr>
          <w:bottom w:val="single" w:color="BBBBBB" w:sz="4" w:space="1"/>
        </w:pBdr>
        <w:spacing w:after="80" w:before="80"/>
      </w:pPr>
    </w:p>
    <w:p>
      <w:pPr>
        <w:spacing w:after="8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 Federated learning for intrusion detection rests on a flawed premise: that every participating institution contributes equally to the shared model. </w:t>
      </w:r>
      <w:r>
        <w:rPr>
          <w:rFonts w:ascii="Times New Roman" w:cs="Times New Roman" w:eastAsia="Times New Roman" w:hAnsi="Times New Roman"/>
          <w:sz w:val="18"/>
          <w:szCs w:val="18"/>
        </w:rPr>
        <w:t xml:space="preserve">In practice, a financial institution with mature security controls and low vulnerability exposure produces fundamentally different data than a government agency running with weaker controls and higher exposure. Treating their local models as equivalent discards information that organisations already collect through standard risk management audits. </w:t>
      </w:r>
      <w:r>
        <w:rPr>
          <w:rFonts w:ascii="Times New Roman" w:cs="Times New Roman" w:eastAsia="Times New Roman" w:hAnsi="Times New Roman"/>
          <w:sz w:val="18"/>
          <w:szCs w:val="18"/>
        </w:rPr>
        <w:t xml:space="preserve">Four governance indicators from the CRISC framework of ISACA, specifically control maturity (CMM), proportion of implemented controls (KCI), risk indicator activation frequency (KRI), and mean vulnerability score (CVSS), are combined here into an Institutional Coherence Index (ICC). This index enters a Nelder-Mead federated weight optimizer as a regularization prior, guiding weight assignment toward institutional quality without imposing any fixed allocation. </w:t>
      </w:r>
      <w:r>
        <w:rPr>
          <w:rFonts w:ascii="Times New Roman" w:cs="Times New Roman" w:eastAsia="Times New Roman" w:hAnsi="Times New Roman"/>
          <w:sz w:val="18"/>
          <w:szCs w:val="18"/>
        </w:rPr>
        <w:t xml:space="preserve">Each node trains a hybrid local classifier combining Categorical and Gaussian Naive Bayes. The server combines local distributions as a real Mixture of Gaussians, preserving each node's statistical identity rather than collapsing it into a global parameter vector. </w:t>
      </w:r>
      <w:r>
        <w:rPr>
          <w:rFonts w:ascii="Times New Roman" w:cs="Times New Roman" w:eastAsia="Times New Roman" w:hAnsi="Times New Roman"/>
          <w:sz w:val="18"/>
          <w:szCs w:val="18"/>
        </w:rPr>
        <w:t xml:space="preserve">Validation on NSL-KDD (2009), CIC-IDS2017 (2017), and UNSW-NB15 (2015), under seven Dirichlet heterogeneity levels, shows that the ICC-regularized proposal outperforms size-proportional federated averaging in all three datasets: F1-macro 0.9135 vs. 0.9076 (+0.0059), 0.7556 vs. 0.6771 (+0.0785), and 0.2110 vs. 0.2060 (+0.0050). </w:t>
      </w:r>
      <w:r>
        <w:rPr>
          <w:rFonts w:ascii="Times New Roman" w:cs="Times New Roman" w:eastAsia="Times New Roman" w:hAnsi="Times New Roman"/>
          <w:sz w:val="18"/>
          <w:szCs w:val="18"/>
        </w:rPr>
        <w:t xml:space="preserve">Statistical significance holds in 70 of 94 configurations (McNemar, p &lt; 0.05). In all three cases, the optimizer assigned the highest weight to the institutionally most mature node and the lowest to the least mature, without any explicit ordering constraint. This pattern, confirmed across datasets built in different years by different research groups, is the central finding of this work.</w:t>
      </w:r>
    </w:p>
    <w:p>
      <w:pPr>
        <w:spacing w:after="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federated learning, Naive Bayes, Mixture of Gaussians, intrusion detection, CRISC, institutional governance, Institutional Coherence Index, Non-IID, Nelder-Mead.</w:t>
      </w:r>
    </w:p>
    <w:p>
      <w:pPr>
        <w:pBdr>
          <w:bottom w:val="single" w:color="BBBBBB" w:sz="4" w:space="1"/>
        </w:pBdr>
        <w:spacing w:after="80" w:before="80"/>
      </w:pPr>
    </w:p>
    <w:p>
      <w:pPr>
        <w:sectPr>
          <w:footerReference w:type="default" r:id="rId7"/>
          <w:pgSz w:w="12240" w:h="15840" w:orient="portrait"/>
          <w:pgMar w:top="1080" w:right="1080" w:bottom="1440" w:left="1080" w:header="708" w:footer="708" w:gutter="0"/>
          <w:pgNumType/>
          <w:docGrid w:linePitch="360"/>
        </w:sectPr>
      </w:pP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I. INTRODUCTION</w:t>
      </w:r>
    </w:p>
    <w:p>
      <w:pPr>
        <w:spacing w:after="60" w:line="240" w:lineRule="auto"/>
        <w:ind w:start="360"/>
        <w:jc w:val="both"/>
      </w:pPr>
      <w:r>
        <w:rPr>
          <w:rFonts w:ascii="Times New Roman" w:cs="Times New Roman" w:eastAsia="Times New Roman" w:hAnsi="Times New Roman"/>
          <w:sz w:val="20"/>
          <w:szCs w:val="20"/>
        </w:rPr>
        <w:t xml:space="preserve">Federated learning [1] lets institutions train shared intrusion detection models without exchanging raw network traffic. Each node trains a local classifier and sends only a model summary to the server, which combines them. Data privacy is maintained throughout, a non-negotiable constraint in healthcare, financial, and government environments.</w:t>
      </w:r>
    </w:p>
    <w:p>
      <w:pPr>
        <w:spacing w:after="60" w:line="240" w:lineRule="auto"/>
        <w:ind w:start="360"/>
        <w:jc w:val="both"/>
      </w:pPr>
      <w:r>
        <w:rPr>
          <w:rFonts w:ascii="Times New Roman" w:cs="Times New Roman" w:eastAsia="Times New Roman" w:hAnsi="Times New Roman"/>
          <w:sz w:val="20"/>
          <w:szCs w:val="20"/>
        </w:rPr>
        <w:t xml:space="preserve">The standard aggregation rule is size-proportional averaging: each node contributes in proportion to its data volume. That rule ignores data quality entirely. A node with immature controls and high vulnerability exposure can outweigh, in volume, a node that spent years building reliable security infrastructure. The result is a shared model shaped by the largest contributor, not the most trustworthy one.</w:t>
      </w:r>
    </w:p>
    <w:p>
      <w:pPr>
        <w:spacing w:after="60" w:line="240" w:lineRule="auto"/>
        <w:ind w:start="360"/>
        <w:jc w:val="both"/>
      </w:pPr>
      <w:r>
        <w:rPr>
          <w:rFonts w:ascii="Times New Roman" w:cs="Times New Roman" w:eastAsia="Times New Roman" w:hAnsi="Times New Roman"/>
          <w:sz w:val="20"/>
          <w:szCs w:val="20"/>
        </w:rPr>
        <w:t xml:space="preserve">This is a solvable problem. Organizations already measure institutional security maturity through risk management frameworks. That information exists. The question is whether it can be converted into a mathematical signal inside the federated optimizer.</w:t>
      </w:r>
    </w:p>
    <w:p>
      <w:pPr>
        <w:spacing w:after="60" w:line="240" w:lineRule="auto"/>
        <w:ind w:start="360"/>
        <w:jc w:val="both"/>
      </w:pPr>
      <w:r>
        <w:rPr>
          <w:rFonts w:ascii="Times New Roman" w:cs="Times New Roman" w:eastAsia="Times New Roman" w:hAnsi="Times New Roman"/>
          <w:sz w:val="20"/>
          <w:szCs w:val="20"/>
        </w:rPr>
        <w:t xml:space="preserve">The answer came from the CRISC framework of ISACA [2]. Four standard audit variables, CMM, KCI, KRI, and CVSS, capture exactly the dimensions that matter: how mature the controls are, how many are implemented, how often risk alerts fire, and what the mean vulnerability exposure looks like. Combined into an Institutional Coherence Index (ICC), these variables become a regularization prior in the Nelder-Mead weight optimizer. The optimizer learns from validation data and adjusts weights toward institutions that produce more coherent security signals. In all three datasets tested, it learned to do exactly that.</w:t>
      </w:r>
    </w:p>
    <w:p>
      <w:pPr>
        <w:spacing w:after="20"/>
        <w:jc w:val="both"/>
      </w:pPr>
      <w:r>
        <w:rPr>
          <w:rFonts w:ascii="Times New Roman" w:cs="Times New Roman" w:eastAsia="Times New Roman" w:hAnsi="Times New Roman"/>
          <w:b/>
          <w:bCs/>
          <w:sz w:val="20"/>
          <w:szCs w:val="20"/>
        </w:rPr>
        <w:t xml:space="preserve">Contributions:</w:t>
      </w:r>
    </w:p>
    <w:p>
      <w:pPr>
        <w:spacing w:after="60" w:line="240" w:lineRule="auto"/>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i/>
          <w:iCs/>
        </w:rPr>
        <w:t xml:space="preserve">ICC as a federated regularizer: </w:t>
      </w:r>
      <w:r>
        <w:rPr>
          <w:rFonts w:ascii="Times New Roman" w:cs="Times New Roman" w:eastAsia="Times New Roman" w:hAnsi="Times New Roman"/>
          <w:sz w:val="20"/>
          <w:szCs w:val="20"/>
        </w:rPr>
        <w:t xml:space="preserve">CRISC governance indicators formalized as a regularization prior in federated weight optimization.</w:t>
      </w:r>
    </w:p>
    <w:p>
      <w:pPr>
        <w:spacing w:after="60" w:line="240" w:lineRule="auto"/>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i/>
          <w:iCs/>
        </w:rPr>
        <w:t xml:space="preserve">Real MoG inference: </w:t>
      </w:r>
      <w:r>
        <w:rPr>
          <w:rFonts w:ascii="Times New Roman" w:cs="Times New Roman" w:eastAsia="Times New Roman" w:hAnsi="Times New Roman"/>
          <w:sz w:val="20"/>
          <w:szCs w:val="20"/>
        </w:rPr>
        <w:t xml:space="preserve">local Gaussian distributions combined at prediction time without collapsing into shared parameters.</w:t>
      </w:r>
    </w:p>
    <w:p>
      <w:pPr>
        <w:spacing w:after="60" w:line="240" w:lineRule="auto"/>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i/>
          <w:iCs/>
        </w:rPr>
        <w:t xml:space="preserve">Hybrid local classifier: </w:t>
      </w:r>
      <w:r>
        <w:rPr>
          <w:rFonts w:ascii="Times New Roman" w:cs="Times New Roman" w:eastAsia="Times New Roman" w:hAnsi="Times New Roman"/>
          <w:sz w:val="20"/>
          <w:szCs w:val="20"/>
        </w:rPr>
        <w:t xml:space="preserve">CategoricalNB and GaussianNB handle nominal and numerical features separately, eliminating encoding-induced distance bias.</w:t>
      </w:r>
    </w:p>
    <w:p>
      <w:pPr>
        <w:spacing w:after="60" w:line="240" w:lineRule="auto"/>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i/>
          <w:iCs/>
        </w:rPr>
        <w:t xml:space="preserve">Cross-dataset validation: </w:t>
      </w:r>
      <w:r>
        <w:rPr>
          <w:rFonts w:ascii="Times New Roman" w:cs="Times New Roman" w:eastAsia="Times New Roman" w:hAnsi="Times New Roman"/>
          <w:sz w:val="20"/>
          <w:szCs w:val="20"/>
        </w:rPr>
        <w:t xml:space="preserve">seven heterogeneity levels evaluated on three independent datasets from different years and research groups.</w:t>
      </w:r>
    </w:p>
    <w:p>
      <w:pPr>
        <w:spacing w:after="8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i/>
          <w:iCs/>
        </w:rPr>
        <w:t xml:space="preserve">ICC Alignment: </w:t>
      </w:r>
      <w:r>
        <w:rPr>
          <w:rFonts w:ascii="Times New Roman" w:cs="Times New Roman" w:eastAsia="Times New Roman" w:hAnsi="Times New Roman"/>
          <w:sz w:val="20"/>
          <w:szCs w:val="20"/>
        </w:rPr>
        <w:t xml:space="preserve">the optimizer spontaneously learns to respect institutional governance hierarchy. This finding holds in all three datasets.</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II. RELATED WORK</w:t>
      </w:r>
    </w:p>
    <w:p>
      <w:pPr>
        <w:spacing w:after="60" w:line="240" w:lineRule="auto"/>
        <w:ind w:start="360"/>
        <w:jc w:val="both"/>
      </w:pPr>
      <w:r>
        <w:rPr>
          <w:rFonts w:ascii="Times New Roman" w:cs="Times New Roman" w:eastAsia="Times New Roman" w:hAnsi="Times New Roman"/>
          <w:sz w:val="20"/>
          <w:szCs w:val="20"/>
        </w:rPr>
        <w:t xml:space="preserve">McMahan et al. [1] established FedAvg as the reference for federated optimization. Each node's gradient is weighted by its data volume. Under Non-IID conditions, this produces a global model skewed toward the most data-rich node, not the most reliable one. The aggregation is volume-blind to quality.</w:t>
      </w:r>
    </w:p>
    <w:p>
      <w:pPr>
        <w:spacing w:after="60" w:line="240" w:lineRule="auto"/>
        <w:ind w:start="360"/>
        <w:jc w:val="both"/>
      </w:pPr>
      <w:r>
        <w:rPr>
          <w:rFonts w:ascii="Times New Roman" w:cs="Times New Roman" w:eastAsia="Times New Roman" w:hAnsi="Times New Roman"/>
          <w:sz w:val="20"/>
          <w:szCs w:val="20"/>
        </w:rPr>
        <w:t xml:space="preserve">Wisanwanichthan and Thammawichai [7] combined Naive Bayes and SVM in a double-layered hybrid on NSL-KDD, showing that treating nominal and numerical features separately produces better attack classification than encoding everything into a single feature space. That separation is the basis of the hybrid local architecture used here.</w:t>
      </w:r>
    </w:p>
    <w:p>
      <w:pPr>
        <w:spacing w:after="60" w:line="240" w:lineRule="auto"/>
        <w:ind w:start="360"/>
        <w:jc w:val="both"/>
      </w:pPr>
      <w:r>
        <w:rPr>
          <w:rFonts w:ascii="Times New Roman" w:cs="Times New Roman" w:eastAsia="Times New Roman" w:hAnsi="Times New Roman"/>
          <w:sz w:val="20"/>
          <w:szCs w:val="20"/>
        </w:rPr>
        <w:t xml:space="preserve">Lara-Gutierrez, Fernandez-Gago, and Onieva [8] developed HDDAF, a centralized drift detection and adaptation framework validated on CIC-IDS2017 and UNSW-NB15. Their results on UNSW-NB15 confirm what the experiments in this paper also find: ten attack categories and 133 distinct protocol values make that dataset substantially harder than CIC-IDS2017, even for centralized models with access to all data.</w:t>
      </w:r>
    </w:p>
    <w:p>
      <w:pPr>
        <w:spacing w:after="60" w:line="240" w:lineRule="auto"/>
        <w:ind w:start="360"/>
        <w:jc w:val="both"/>
      </w:pPr>
      <w:r>
        <w:rPr>
          <w:rFonts w:ascii="Times New Roman" w:cs="Times New Roman" w:eastAsia="Times New Roman" w:hAnsi="Times New Roman"/>
          <w:sz w:val="20"/>
          <w:szCs w:val="20"/>
        </w:rPr>
        <w:t xml:space="preserve">ElDahshan et al. [9] applied meta-heuristic optimization to hierarchical intrusion detection on the same two datasets. Using an optimizer to learn weight configuration in a multi-stage architecture is methodologically similar to the Nelder-Mead approach used here. The difference is the governance regularization term, which does not appear in their formulation.</w:t>
      </w:r>
    </w:p>
    <w:p>
      <w:pPr>
        <w:spacing w:after="80"/>
        <w:ind w:start="360"/>
        <w:jc w:val="both"/>
      </w:pPr>
      <w:r>
        <w:rPr>
          <w:rFonts w:ascii="Times New Roman" w:cs="Times New Roman" w:eastAsia="Times New Roman" w:hAnsi="Times New Roman"/>
          <w:sz w:val="20"/>
          <w:szCs w:val="20"/>
        </w:rPr>
        <w:t xml:space="preserve">The combination of CRISC governance indicators as a federated regularizer, validated across three independent network environments, has not been examined in prior work.</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III. METHODOLOGY</w:t>
      </w:r>
    </w:p>
    <w:p>
      <w:pPr>
        <w:spacing w:after="40" w:before="120" w:line="240" w:lineRule="auto"/>
      </w:pPr>
      <w:r>
        <w:rPr>
          <w:rFonts w:ascii="Times New Roman" w:cs="Times New Roman" w:eastAsia="Times New Roman" w:hAnsi="Times New Roman"/>
          <w:b/>
          <w:bCs/>
          <w:i/>
          <w:iCs/>
          <w:sz w:val="20"/>
          <w:szCs w:val="20"/>
        </w:rPr>
        <w:t xml:space="preserve">A.</w:t>
      </w:r>
      <w:r>
        <w:rPr>
          <w:rFonts w:ascii="Times New Roman" w:cs="Times New Roman" w:eastAsia="Times New Roman" w:hAnsi="Times New Roman"/>
          <w:i/>
          <w:iCs/>
          <w:sz w:val="20"/>
          <w:szCs w:val="20"/>
        </w:rPr>
        <w:t xml:space="preserve"> CRISC Governance Variables and the ICC</w:t>
      </w:r>
    </w:p>
    <w:p>
      <w:pPr>
        <w:spacing w:after="60" w:line="240" w:lineRule="auto"/>
        <w:ind w:start="360"/>
        <w:jc w:val="both"/>
      </w:pPr>
      <w:r>
        <w:rPr>
          <w:rFonts w:ascii="Times New Roman" w:cs="Times New Roman" w:eastAsia="Times New Roman" w:hAnsi="Times New Roman"/>
          <w:sz w:val="20"/>
          <w:szCs w:val="20"/>
        </w:rPr>
        <w:t xml:space="preserve">Four contextual variables characterize each institutional node, following the CRISC framework of ISACA [2]: CMM (control maturity, 1 to 5), KCI (proportion of implemented controls, 0 to 1), KRI (risk alert activation frequency, 0 to 1, lower is better), and CVSS (mean vulnerability score, 0 to 10, lower is better). They combine into the Institutional Coherence Index:</w:t>
      </w:r>
    </w:p>
    <w:p>
      <w:pPr>
        <w:spacing w:after="60" w:before="60" w:line="240" w:lineRule="auto"/>
        <w:jc w:val="center"/>
      </w:pPr>
      <w:r>
        <w:rPr>
          <w:rFonts w:ascii="Times New Roman" w:cs="Times New Roman" w:eastAsia="Times New Roman" w:hAnsi="Times New Roman"/>
          <w:i/>
          <w:iCs/>
          <w:sz w:val="20"/>
          <w:szCs w:val="20"/>
        </w:rPr>
        <w:t xml:space="preserve">ICC_k  =  (CMM_k / 5)  x  KCI_k  x  (1 - KRI_k)  x  (1 - CVSS_k / 10)</w:t>
      </w:r>
    </w:p>
    <w:p>
      <w:pPr>
        <w:spacing w:after="60" w:line="240" w:lineRule="auto"/>
        <w:ind w:start="360"/>
        <w:jc w:val="both"/>
      </w:pPr>
      <w:r>
        <w:rPr>
          <w:rFonts w:ascii="Times New Roman" w:cs="Times New Roman" w:eastAsia="Times New Roman" w:hAnsi="Times New Roman"/>
          <w:sz w:val="20"/>
          <w:szCs w:val="20"/>
        </w:rPr>
        <w:t xml:space="preserve">A node with high CMM, high KCI, low KRI, and low CVSS earns a high ICC. Each factor penalizes a specific governance weakness. Table I shows the values for the three institutional nodes in this experiment.</w:t>
      </w:r>
    </w:p>
    <w:p>
      <w:pPr>
        <w:spacing w:after="40" w:before="120"/>
        <w:jc w:val="center"/>
      </w:pPr>
      <w:r>
        <w:rPr>
          <w:rFonts w:ascii="Times New Roman" w:cs="Times New Roman" w:eastAsia="Times New Roman" w:hAnsi="Times New Roman"/>
          <w:b/>
          <w:bCs/>
          <w:sz w:val="18"/>
          <w:szCs w:val="18"/>
        </w:rPr>
        <w:t xml:space="preserve">TABLE I. </w:t>
      </w:r>
      <w:r>
        <w:rPr>
          <w:rFonts w:ascii="Times New Roman" w:cs="Times New Roman" w:eastAsia="Times New Roman" w:hAnsi="Times New Roman"/>
          <w:sz w:val="18"/>
          <w:szCs w:val="18"/>
        </w:rPr>
        <w:t xml:space="preserve">CRISC Governance Variables and ICC per Node</w:t>
      </w:r>
    </w:p>
    <w:tbl>
      <w:tblPr>
        <w:tblW w:type="dxa" w:w="4984"/>
        <w:tblBorders>
          <w:top w:val="single" w:color="auto" w:sz="4"/>
          <w:left w:val="single" w:color="auto" w:sz="4"/>
          <w:bottom w:val="single" w:color="auto" w:sz="4"/>
          <w:right w:val="single" w:color="auto" w:sz="4"/>
          <w:insideH w:val="single" w:color="auto" w:sz="4"/>
          <w:insideV w:val="single" w:color="auto" w:sz="4"/>
        </w:tblBorders>
      </w:tblPr>
      <w:tblGrid>
        <w:gridCol w:w="1592"/>
        <w:gridCol w:w="678"/>
        <w:gridCol w:w="678"/>
        <w:gridCol w:w="678"/>
        <w:gridCol w:w="678"/>
        <w:gridCol w:w="678"/>
      </w:tblGrid>
      <w:tr>
        <w:tc>
          <w:tcPr>
            <w:tcW w:type="dxa" w:w="1592"/>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Node</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CMM</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KCI</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KRI</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CVSS</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ICC</w:t>
            </w:r>
          </w:p>
        </w:tc>
      </w:tr>
      <w:tr>
        <w:tc>
          <w:tcPr>
            <w:tcW w:type="dxa" w:w="1592"/>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Financial</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4</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0.82</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0.12</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3.2</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0.393</w:t>
            </w:r>
          </w:p>
        </w:tc>
      </w:tr>
      <w:tr>
        <w:tc>
          <w:tcPr>
            <w:tcW w:type="dxa" w:w="1592"/>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Health</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3</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0.70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0.25</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5.1</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0.154</w:t>
            </w:r>
          </w:p>
        </w:tc>
      </w:tr>
      <w:tr>
        <w:tc>
          <w:tcPr>
            <w:tcW w:type="dxa" w:w="1592"/>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Government</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2</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6.8</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0.042</w:t>
            </w:r>
          </w:p>
        </w:tc>
      </w:tr>
    </w:tbl>
    <w:p>
      <w:pPr>
        <w:spacing w:after="0"/>
      </w:pPr>
    </w:p>
    <w:p>
      <w:pPr>
        <w:spacing w:after="40" w:before="120" w:line="240" w:lineRule="auto"/>
      </w:pPr>
      <w:r>
        <w:rPr>
          <w:rFonts w:ascii="Times New Roman" w:cs="Times New Roman" w:eastAsia="Times New Roman" w:hAnsi="Times New Roman"/>
          <w:b/>
          <w:bCs/>
          <w:i/>
          <w:iCs/>
          <w:sz w:val="20"/>
          <w:szCs w:val="20"/>
        </w:rPr>
        <w:t xml:space="preserve">B.</w:t>
      </w:r>
      <w:r>
        <w:rPr>
          <w:rFonts w:ascii="Times New Roman" w:cs="Times New Roman" w:eastAsia="Times New Roman" w:hAnsi="Times New Roman"/>
          <w:i/>
          <w:iCs/>
          <w:sz w:val="20"/>
          <w:szCs w:val="20"/>
        </w:rPr>
        <w:t xml:space="preserve"> Federated Data Partitioning</w:t>
      </w:r>
    </w:p>
    <w:p>
      <w:pPr>
        <w:spacing w:after="60" w:line="240" w:lineRule="auto"/>
        <w:ind w:start="360"/>
        <w:jc w:val="both"/>
      </w:pPr>
      <w:r>
        <w:rPr>
          <w:rFonts w:ascii="Times New Roman" w:cs="Times New Roman" w:eastAsia="Times New Roman" w:hAnsi="Times New Roman"/>
          <w:sz w:val="20"/>
          <w:szCs w:val="20"/>
        </w:rPr>
        <w:t xml:space="preserve">Heterogeneity is simulated using a Dirichlet distribution with concentration parameter alpha. For each class, samples are distributed across the three nodes according to Dirichlet(alpha) proportions. Lower alpha produces more heterogeneous partitions; alpha = 1.0 approximates uniform distribution. Seven levels are evaluated: alpha in {0.05, 0.10, 0.20, 0.30, 0.50, 0.70, 1.00}, per the gradient heterogeneity design requested by the research supervisors [April 20, 2026].</w:t>
      </w:r>
    </w:p>
    <w:p>
      <w:pPr>
        <w:spacing w:after="40" w:before="120" w:line="240" w:lineRule="auto"/>
      </w:pPr>
      <w:r>
        <w:rPr>
          <w:rFonts w:ascii="Times New Roman" w:cs="Times New Roman" w:eastAsia="Times New Roman" w:hAnsi="Times New Roman"/>
          <w:b/>
          <w:bCs/>
          <w:i/>
          <w:iCs/>
          <w:sz w:val="20"/>
          <w:szCs w:val="20"/>
        </w:rPr>
        <w:t xml:space="preserve">C.</w:t>
      </w:r>
      <w:r>
        <w:rPr>
          <w:rFonts w:ascii="Times New Roman" w:cs="Times New Roman" w:eastAsia="Times New Roman" w:hAnsi="Times New Roman"/>
          <w:i/>
          <w:iCs/>
          <w:sz w:val="20"/>
          <w:szCs w:val="20"/>
        </w:rPr>
        <w:t xml:space="preserve"> Hybrid Local Classifier</w:t>
      </w:r>
    </w:p>
    <w:p>
      <w:pPr>
        <w:spacing w:after="60" w:line="240" w:lineRule="auto"/>
        <w:ind w:start="360"/>
        <w:jc w:val="both"/>
      </w:pPr>
      <w:r>
        <w:rPr>
          <w:rFonts w:ascii="Times New Roman" w:cs="Times New Roman" w:eastAsia="Times New Roman" w:hAnsi="Times New Roman"/>
          <w:sz w:val="20"/>
          <w:szCs w:val="20"/>
        </w:rPr>
        <w:t xml:space="preserve">Each node trains a hybrid Naive Bayes classifier that separates features by measurement type, following the recommendation of the research supervisors [April 21, 2026]. Nominal protocol variables are handled by CategoricalNB with Laplace smoothing (alpha = 1.0). Numerical flow statistics are handled by GaussianNB after StandardScaler normalization. Both are fitted exclusively on training data.</w:t>
      </w:r>
    </w:p>
    <w:p>
      <w:pPr>
        <w:spacing w:after="60" w:line="240" w:lineRule="auto"/>
        <w:ind w:start="360"/>
        <w:jc w:val="both"/>
      </w:pPr>
      <w:r>
        <w:rPr>
          <w:rFonts w:ascii="Times New Roman" w:cs="Times New Roman" w:eastAsia="Times New Roman" w:hAnsi="Times New Roman"/>
          <w:sz w:val="20"/>
          <w:szCs w:val="20"/>
        </w:rPr>
        <w:t xml:space="preserve">Unseen categorical values at inference time go to a dedicated OOD slot at index n_cats, one position beyond the last known category. This was corrected from an earlier implementation that used np.clip(x, 0, n_cats-1), which incorrectly mapped OOD values to the last known category and contaminated its probability mass [April 24, 2026, Prof. Ortiz de Lazcano]. The combined per-class log-likelihood is:</w:t>
      </w:r>
    </w:p>
    <w:p>
      <w:pPr>
        <w:spacing w:after="60" w:before="60" w:line="240" w:lineRule="auto"/>
        <w:jc w:val="center"/>
      </w:pPr>
      <w:r>
        <w:rPr>
          <w:rFonts w:ascii="Times New Roman" w:cs="Times New Roman" w:eastAsia="Times New Roman" w:hAnsi="Times New Roman"/>
          <w:i/>
          <w:iCs/>
          <w:sz w:val="20"/>
          <w:szCs w:val="20"/>
        </w:rPr>
        <w:t xml:space="preserve">log P(x|c,k) = log P_CAT(x_qual|c,k) + log P_GAUSS(x_num|c,k) - log P(c)</w:t>
      </w:r>
    </w:p>
    <w:p>
      <w:pPr>
        <w:spacing w:after="60" w:line="240" w:lineRule="auto"/>
        <w:ind w:start="360"/>
        <w:jc w:val="both"/>
      </w:pPr>
      <w:r>
        <w:rPr>
          <w:rFonts w:ascii="Times New Roman" w:cs="Times New Roman" w:eastAsia="Times New Roman" w:hAnsi="Times New Roman"/>
          <w:sz w:val="20"/>
          <w:szCs w:val="20"/>
        </w:rPr>
        <w:t xml:space="preserve">The class prior is subtracted once to prevent double-counting, since both NB variants include the prior in their predict_log_proba output.</w:t>
      </w:r>
    </w:p>
    <w:p>
      <w:pPr>
        <w:spacing w:after="40" w:before="120" w:line="240" w:lineRule="auto"/>
      </w:pPr>
      <w:r>
        <w:rPr>
          <w:rFonts w:ascii="Times New Roman" w:cs="Times New Roman" w:eastAsia="Times New Roman" w:hAnsi="Times New Roman"/>
          <w:b/>
          <w:bCs/>
          <w:i/>
          <w:iCs/>
          <w:sz w:val="20"/>
          <w:szCs w:val="20"/>
        </w:rPr>
        <w:t xml:space="preserve">D.</w:t>
      </w:r>
      <w:r>
        <w:rPr>
          <w:rFonts w:ascii="Times New Roman" w:cs="Times New Roman" w:eastAsia="Times New Roman" w:hAnsi="Times New Roman"/>
          <w:i/>
          <w:iCs/>
          <w:sz w:val="20"/>
          <w:szCs w:val="20"/>
        </w:rPr>
        <w:t xml:space="preserve"> Real Mixture of Gaussians Server</w:t>
      </w:r>
    </w:p>
    <w:p>
      <w:pPr>
        <w:spacing w:after="60" w:line="240" w:lineRule="auto"/>
        <w:ind w:start="360"/>
        <w:jc w:val="both"/>
      </w:pPr>
      <w:r>
        <w:rPr>
          <w:rFonts w:ascii="Times New Roman" w:cs="Times New Roman" w:eastAsia="Times New Roman" w:hAnsi="Times New Roman"/>
          <w:sz w:val="20"/>
          <w:szCs w:val="20"/>
        </w:rPr>
        <w:t xml:space="preserve">The server combines K local models as a real Mixture of Gaussians, per the requirement of the research supervisors [April 16, 2026]. No local distribution is collapsed into a global parameter vector. Log-sum-exp provides numerical stability:</w:t>
      </w:r>
    </w:p>
    <w:p>
      <w:pPr>
        <w:spacing w:after="60" w:before="60" w:line="240" w:lineRule="auto"/>
        <w:jc w:val="center"/>
      </w:pPr>
      <w:r>
        <w:rPr>
          <w:rFonts w:ascii="Times New Roman" w:cs="Times New Roman" w:eastAsia="Times New Roman" w:hAnsi="Times New Roman"/>
          <w:i/>
          <w:iCs/>
          <w:sz w:val="20"/>
          <w:szCs w:val="20"/>
        </w:rPr>
        <w:t xml:space="preserve">log P_MoG(x|c) = log SUM_k [ w_k * exp( log P(x|c,k) ) ]</w:t>
      </w:r>
    </w:p>
    <w:p>
      <w:pPr>
        <w:spacing w:after="60" w:line="240" w:lineRule="auto"/>
        <w:ind w:start="360"/>
        <w:jc w:val="both"/>
      </w:pPr>
      <w:r>
        <w:rPr>
          <w:rFonts w:ascii="Times New Roman" w:cs="Times New Roman" w:eastAsia="Times New Roman" w:hAnsi="Times New Roman"/>
          <w:sz w:val="20"/>
          <w:szCs w:val="20"/>
        </w:rPr>
        <w:t xml:space="preserve">Log-softmax normalization is applied before computing ANLL. Without it, the ANLL reaches values in the millions while the ICC penalty operates in [0, 0.5]. The governance prior becomes numerically invisible to the optimizer. This scaling correction was the most consequential fix in this version of the program.</w:t>
      </w:r>
    </w:p>
    <w:p>
      <w:pPr>
        <w:spacing w:after="40" w:before="120" w:line="240" w:lineRule="auto"/>
      </w:pPr>
      <w:r>
        <w:rPr>
          <w:rFonts w:ascii="Times New Roman" w:cs="Times New Roman" w:eastAsia="Times New Roman" w:hAnsi="Times New Roman"/>
          <w:b/>
          <w:bCs/>
          <w:i/>
          <w:iCs/>
          <w:sz w:val="20"/>
          <w:szCs w:val="20"/>
        </w:rPr>
        <w:t xml:space="preserve">E.</w:t>
      </w:r>
      <w:r>
        <w:rPr>
          <w:rFonts w:ascii="Times New Roman" w:cs="Times New Roman" w:eastAsia="Times New Roman" w:hAnsi="Times New Roman"/>
          <w:i/>
          <w:iCs/>
          <w:sz w:val="20"/>
          <w:szCs w:val="20"/>
        </w:rPr>
        <w:t xml:space="preserve"> Governance-Aware Weight Learning</w:t>
      </w:r>
    </w:p>
    <w:p>
      <w:pPr>
        <w:spacing w:after="60" w:line="240" w:lineRule="auto"/>
        <w:ind w:start="360"/>
        <w:jc w:val="both"/>
      </w:pPr>
      <w:r>
        <w:rPr>
          <w:rFonts w:ascii="Times New Roman" w:cs="Times New Roman" w:eastAsia="Times New Roman" w:hAnsi="Times New Roman"/>
          <w:sz w:val="20"/>
          <w:szCs w:val="20"/>
        </w:rPr>
        <w:t xml:space="preserve">Node weights are learned by minimizing a composite objective on the validation set (2,000 samples):</w:t>
      </w:r>
    </w:p>
    <w:p>
      <w:pPr>
        <w:spacing w:after="60" w:before="60" w:line="240" w:lineRule="auto"/>
        <w:jc w:val="center"/>
      </w:pPr>
      <w:r>
        <w:rPr>
          <w:rFonts w:ascii="Times New Roman" w:cs="Times New Roman" w:eastAsia="Times New Roman" w:hAnsi="Times New Roman"/>
          <w:i/>
          <w:iCs/>
          <w:sz w:val="20"/>
          <w:szCs w:val="20"/>
        </w:rPr>
        <w:t xml:space="preserve">J(w)  =  ANLL_norm(w)  +  lambda * || w - ICC_norm ||^2</w:t>
      </w:r>
    </w:p>
    <w:p>
      <w:pPr>
        <w:spacing w:after="60" w:line="240" w:lineRule="auto"/>
        <w:ind w:start="360"/>
        <w:jc w:val="both"/>
      </w:pPr>
      <w:r>
        <w:rPr>
          <w:rFonts w:ascii="Times New Roman" w:cs="Times New Roman" w:eastAsia="Times New Roman" w:hAnsi="Times New Roman"/>
          <w:sz w:val="20"/>
          <w:szCs w:val="20"/>
        </w:rPr>
        <w:t xml:space="preserve">where ANLL_norm is the average negative log-likelihood after log-softmax normalization, lambda = 0.10 is fixed across all datasets, and ICC_norm is the ICC vector projected onto the probability simplex. A minimum weight floor delta = 0.05 (PISO_W) prevents any node from being excluded. Nelder-Mead runs 500 iterations from five starting points: the ICC prior, the uniform vector, two Dirichlet random draws, and their midpoint.</w:t>
      </w:r>
    </w:p>
    <w:p>
      <w:pPr>
        <w:spacing w:after="40" w:before="120" w:line="240" w:lineRule="auto"/>
      </w:pPr>
      <w:r>
        <w:rPr>
          <w:rFonts w:ascii="Times New Roman" w:cs="Times New Roman" w:eastAsia="Times New Roman" w:hAnsi="Times New Roman"/>
          <w:b/>
          <w:bCs/>
          <w:i/>
          <w:iCs/>
          <w:sz w:val="20"/>
          <w:szCs w:val="20"/>
        </w:rPr>
        <w:t xml:space="preserve">F.</w:t>
      </w:r>
      <w:r>
        <w:rPr>
          <w:rFonts w:ascii="Times New Roman" w:cs="Times New Roman" w:eastAsia="Times New Roman" w:hAnsi="Times New Roman"/>
          <w:i/>
          <w:iCs/>
          <w:sz w:val="20"/>
          <w:szCs w:val="20"/>
        </w:rPr>
        <w:t xml:space="preserve"> Statistical Significance</w:t>
      </w:r>
    </w:p>
    <w:p>
      <w:pPr>
        <w:spacing w:after="80"/>
        <w:ind w:start="360"/>
        <w:jc w:val="both"/>
      </w:pPr>
      <w:r>
        <w:rPr>
          <w:rFonts w:ascii="Times New Roman" w:cs="Times New Roman" w:eastAsia="Times New Roman" w:hAnsi="Times New Roman"/>
          <w:sz w:val="20"/>
          <w:szCs w:val="20"/>
        </w:rPr>
        <w:t xml:space="preserve">For each dataset and alpha level, the difference between Proposal A and Proposal B is tested with McNemar's test with Yates' continuity correction, applied to the contingency table of correct and incorrect predictions. Threshold: p &lt; 0.05. Applied independently to each of the 94 configurations.</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IV. EXPERIMENTAL SETUP</w:t>
      </w:r>
    </w:p>
    <w:p>
      <w:pPr>
        <w:spacing w:after="40" w:before="120" w:line="240" w:lineRule="auto"/>
      </w:pPr>
      <w:r>
        <w:rPr>
          <w:rFonts w:ascii="Times New Roman" w:cs="Times New Roman" w:eastAsia="Times New Roman" w:hAnsi="Times New Roman"/>
          <w:b/>
          <w:bCs/>
          <w:i/>
          <w:iCs/>
          <w:sz w:val="20"/>
          <w:szCs w:val="20"/>
        </w:rPr>
        <w:t xml:space="preserve">A.</w:t>
      </w:r>
      <w:r>
        <w:rPr>
          <w:rFonts w:ascii="Times New Roman" w:cs="Times New Roman" w:eastAsia="Times New Roman" w:hAnsi="Times New Roman"/>
          <w:i/>
          <w:iCs/>
          <w:sz w:val="20"/>
          <w:szCs w:val="20"/>
        </w:rPr>
        <w:t xml:space="preserve"> Datasets</w:t>
      </w:r>
    </w:p>
    <w:p>
      <w:pPr>
        <w:spacing w:after="40" w:before="120"/>
        <w:jc w:val="center"/>
      </w:pPr>
      <w:r>
        <w:rPr>
          <w:rFonts w:ascii="Times New Roman" w:cs="Times New Roman" w:eastAsia="Times New Roman" w:hAnsi="Times New Roman"/>
          <w:b/>
          <w:bCs/>
          <w:sz w:val="18"/>
          <w:szCs w:val="18"/>
        </w:rPr>
        <w:t xml:space="preserve">TABLE II. </w:t>
      </w:r>
      <w:r>
        <w:rPr>
          <w:rFonts w:ascii="Times New Roman" w:cs="Times New Roman" w:eastAsia="Times New Roman" w:hAnsi="Times New Roman"/>
          <w:sz w:val="18"/>
          <w:szCs w:val="18"/>
        </w:rPr>
        <w:t xml:space="preserve">Benchmark Datasets</w:t>
      </w:r>
    </w:p>
    <w:tbl>
      <w:tblPr>
        <w:tblW w:type="dxa" w:w="5341"/>
        <w:tblBorders>
          <w:top w:val="single" w:color="auto" w:sz="4"/>
          <w:left w:val="single" w:color="auto" w:sz="4"/>
          <w:bottom w:val="single" w:color="auto" w:sz="4"/>
          <w:right w:val="single" w:color="auto" w:sz="4"/>
          <w:insideH w:val="single" w:color="auto" w:sz="4"/>
          <w:insideV w:val="single" w:color="auto" w:sz="4"/>
        </w:tblBorders>
      </w:tblPr>
      <w:tblGrid>
        <w:gridCol w:w="1899"/>
        <w:gridCol w:w="593"/>
        <w:gridCol w:w="1424"/>
        <w:gridCol w:w="1424"/>
      </w:tblGrid>
      <w:tr>
        <w:tc>
          <w:tcPr>
            <w:tcW w:type="dxa" w:w="1899"/>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Dataset</w:t>
            </w:r>
          </w:p>
        </w:tc>
        <w:tc>
          <w:tcPr>
            <w:tcW w:type="dxa" w:w="593"/>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Year</w:t>
            </w:r>
          </w:p>
        </w:tc>
        <w:tc>
          <w:tcPr>
            <w:tcW w:type="dxa" w:w="1424"/>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Task</w:t>
            </w:r>
          </w:p>
        </w:tc>
        <w:tc>
          <w:tcPr>
            <w:tcW w:type="dxa" w:w="1424"/>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Records</w:t>
            </w:r>
          </w:p>
        </w:tc>
      </w:tr>
      <w:tr>
        <w:tc>
          <w:tcPr>
            <w:tcW w:type="dxa" w:w="1899"/>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NSL-KDD [6]</w:t>
            </w:r>
          </w:p>
        </w:tc>
        <w:tc>
          <w:tcPr>
            <w:tcW w:type="dxa" w:w="593"/>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2009</w:t>
            </w:r>
          </w:p>
        </w:tc>
        <w:tc>
          <w:tcPr>
            <w:tcW w:type="dxa" w:w="1424"/>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Binary</w:t>
            </w:r>
          </w:p>
        </w:tc>
        <w:tc>
          <w:tcPr>
            <w:tcW w:type="dxa" w:w="1424"/>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147,888</w:t>
            </w:r>
          </w:p>
        </w:tc>
      </w:tr>
      <w:tr>
        <w:tc>
          <w:tcPr>
            <w:tcW w:type="dxa" w:w="1899"/>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CIC-IDS2017 [5]</w:t>
            </w:r>
          </w:p>
        </w:tc>
        <w:tc>
          <w:tcPr>
            <w:tcW w:type="dxa" w:w="593"/>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2017</w:t>
            </w:r>
          </w:p>
        </w:tc>
        <w:tc>
          <w:tcPr>
            <w:tcW w:type="dxa" w:w="1424"/>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Binary</w:t>
            </w:r>
          </w:p>
        </w:tc>
        <w:tc>
          <w:tcPr>
            <w:tcW w:type="dxa" w:w="1424"/>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100,000 *</w:t>
            </w:r>
          </w:p>
        </w:tc>
      </w:tr>
      <w:tr>
        <w:tc>
          <w:tcPr>
            <w:tcW w:type="dxa" w:w="1899"/>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UNSW-NB15 [3,4]</w:t>
            </w:r>
          </w:p>
        </w:tc>
        <w:tc>
          <w:tcPr>
            <w:tcW w:type="dxa" w:w="593"/>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2015</w:t>
            </w:r>
          </w:p>
        </w:tc>
        <w:tc>
          <w:tcPr>
            <w:tcW w:type="dxa" w:w="1424"/>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10-class</w:t>
            </w:r>
          </w:p>
        </w:tc>
        <w:tc>
          <w:tcPr>
            <w:tcW w:type="dxa" w:w="1424"/>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257,673</w:t>
            </w:r>
          </w:p>
        </w:tc>
      </w:tr>
    </w:tbl>
    <w:p>
      <w:pPr>
        <w:spacing w:after="80" w:before="20"/>
      </w:pPr>
      <w:r>
        <w:rPr>
          <w:rFonts w:ascii="Times New Roman" w:cs="Times New Roman" w:eastAsia="Times New Roman" w:hAnsi="Times New Roman"/>
          <w:i/>
          <w:iCs/>
          <w:color w:val="555555"/>
          <w:sz w:val="18"/>
          <w:szCs w:val="18"/>
        </w:rPr>
        <w:t xml:space="preserve">* CIC-IDS2017: proportional subsampling to 100,000 records (84.9% benign / 15.1% attack). No synthetic samples [April 28, 2026].</w:t>
      </w:r>
    </w:p>
    <w:p>
      <w:pPr>
        <w:spacing w:after="60" w:line="240" w:lineRule="auto"/>
        <w:ind w:start="360"/>
        <w:jc w:val="both"/>
      </w:pPr>
      <w:r>
        <w:rPr>
          <w:rFonts w:ascii="Times New Roman" w:cs="Times New Roman" w:eastAsia="Times New Roman" w:hAnsi="Times New Roman"/>
          <w:b/>
          <w:bCs/>
          <w:sz w:val="20"/>
          <w:szCs w:val="20"/>
        </w:rPr>
        <w:t xml:space="preserve">NSL-KDD </w:t>
      </w:r>
      <w:r>
        <w:rPr>
          <w:rFonts w:ascii="Times New Roman" w:cs="Times New Roman" w:eastAsia="Times New Roman" w:hAnsi="Times New Roman"/>
          <w:sz w:val="20"/>
          <w:szCs w:val="20"/>
        </w:rPr>
        <w:t xml:space="preserve">(41 features: 3 categorical, 38 numerical). Binary classification. KDDTrain+ and KDDTest+ combined and split 60/20/20 stratified.</w:t>
      </w:r>
    </w:p>
    <w:p>
      <w:pPr>
        <w:spacing w:after="60" w:line="240" w:lineRule="auto"/>
        <w:ind w:start="360"/>
        <w:jc w:val="both"/>
      </w:pPr>
      <w:r>
        <w:rPr>
          <w:rFonts w:ascii="Times New Roman" w:cs="Times New Roman" w:eastAsia="Times New Roman" w:hAnsi="Times New Roman"/>
          <w:b/>
          <w:bCs/>
          <w:sz w:val="20"/>
          <w:szCs w:val="20"/>
        </w:rPr>
        <w:t xml:space="preserve">CIC-IDS2017 </w:t>
      </w:r>
      <w:r>
        <w:rPr>
          <w:rFonts w:ascii="Times New Roman" w:cs="Times New Roman" w:eastAsia="Times New Roman" w:hAnsi="Times New Roman"/>
          <w:sz w:val="20"/>
          <w:szCs w:val="20"/>
        </w:rPr>
        <w:t xml:space="preserve">(77 features: 1 categorical, 76 numerical). Eight Parquet files, binarized (BENIGN=0, any attack=1), proportionally subsampled.</w:t>
      </w:r>
    </w:p>
    <w:p>
      <w:pPr>
        <w:spacing w:after="60" w:line="240" w:lineRule="auto"/>
        <w:ind w:start="360"/>
        <w:jc w:val="both"/>
      </w:pPr>
      <w:r>
        <w:rPr>
          <w:rFonts w:ascii="Times New Roman" w:cs="Times New Roman" w:eastAsia="Times New Roman" w:hAnsi="Times New Roman"/>
          <w:b/>
          <w:bCs/>
          <w:sz w:val="20"/>
          <w:szCs w:val="20"/>
        </w:rPr>
        <w:t xml:space="preserve">UNSW-NB15 </w:t>
      </w:r>
      <w:r>
        <w:rPr>
          <w:rFonts w:ascii="Times New Roman" w:cs="Times New Roman" w:eastAsia="Times New Roman" w:hAnsi="Times New Roman"/>
          <w:sz w:val="20"/>
          <w:szCs w:val="20"/>
        </w:rPr>
        <w:t xml:space="preserve">(42 features: 3 categorical, 39 numerical). 10 attack categories. Protocol field has 133 unique values.</w:t>
      </w:r>
    </w:p>
    <w:p>
      <w:pPr>
        <w:spacing w:after="40" w:before="120" w:line="240" w:lineRule="auto"/>
      </w:pPr>
      <w:r>
        <w:rPr>
          <w:rFonts w:ascii="Times New Roman" w:cs="Times New Roman" w:eastAsia="Times New Roman" w:hAnsi="Times New Roman"/>
          <w:b/>
          <w:bCs/>
          <w:i/>
          <w:iCs/>
          <w:sz w:val="20"/>
          <w:szCs w:val="20"/>
        </w:rPr>
        <w:t xml:space="preserve">B.</w:t>
      </w:r>
      <w:r>
        <w:rPr>
          <w:rFonts w:ascii="Times New Roman" w:cs="Times New Roman" w:eastAsia="Times New Roman" w:hAnsi="Times New Roman"/>
          <w:i/>
          <w:iCs/>
          <w:sz w:val="20"/>
          <w:szCs w:val="20"/>
        </w:rPr>
        <w:t xml:space="preserve"> Parameters and Proposals</w:t>
      </w:r>
    </w:p>
    <w:p>
      <w:pPr>
        <w:spacing w:after="40" w:before="120"/>
        <w:jc w:val="center"/>
      </w:pPr>
      <w:r>
        <w:rPr>
          <w:rFonts w:ascii="Times New Roman" w:cs="Times New Roman" w:eastAsia="Times New Roman" w:hAnsi="Times New Roman"/>
          <w:b/>
          <w:bCs/>
          <w:sz w:val="18"/>
          <w:szCs w:val="18"/>
        </w:rPr>
        <w:t xml:space="preserve">TABLE III. </w:t>
      </w:r>
      <w:r>
        <w:rPr>
          <w:rFonts w:ascii="Times New Roman" w:cs="Times New Roman" w:eastAsia="Times New Roman" w:hAnsi="Times New Roman"/>
          <w:sz w:val="18"/>
          <w:szCs w:val="18"/>
        </w:rPr>
        <w:t xml:space="preserve">Global Parameters (identical across all datasets)</w:t>
      </w:r>
    </w:p>
    <w:tbl>
      <w:tblPr>
        <w:tblW w:type="dxa" w:w="4748"/>
        <w:tblBorders>
          <w:top w:val="single" w:color="auto" w:sz="4"/>
          <w:left w:val="single" w:color="auto" w:sz="4"/>
          <w:bottom w:val="single" w:color="auto" w:sz="4"/>
          <w:right w:val="single" w:color="auto" w:sz="4"/>
          <w:insideH w:val="single" w:color="auto" w:sz="4"/>
          <w:insideV w:val="single" w:color="auto" w:sz="4"/>
        </w:tblBorders>
      </w:tblPr>
      <w:tblGrid>
        <w:gridCol w:w="2848"/>
        <w:gridCol w:w="1899"/>
      </w:tblGrid>
      <w:tr>
        <w:tc>
          <w:tcPr>
            <w:tcW w:type="dxa" w:w="284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Parameter</w:t>
            </w:r>
          </w:p>
        </w:tc>
        <w:tc>
          <w:tcPr>
            <w:tcW w:type="dxa" w:w="1899"/>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Value</w:t>
            </w:r>
          </w:p>
        </w:tc>
      </w:tr>
      <w:tr>
        <w:tc>
          <w:tcPr>
            <w:tcW w:type="dxa" w:w="284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Random seed</w:t>
            </w:r>
          </w:p>
        </w:tc>
        <w:tc>
          <w:tcPr>
            <w:tcW w:type="dxa" w:w="1899"/>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42</w:t>
            </w:r>
          </w:p>
        </w:tc>
      </w:tr>
      <w:tr>
        <w:tc>
          <w:tcPr>
            <w:tcW w:type="dxa" w:w="284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Repetitions per config.</w:t>
            </w:r>
          </w:p>
        </w:tc>
        <w:tc>
          <w:tcPr>
            <w:tcW w:type="dxa" w:w="1899"/>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5</w:t>
            </w:r>
          </w:p>
        </w:tc>
      </w:tr>
      <w:tr>
        <w:tc>
          <w:tcPr>
            <w:tcW w:type="dxa" w:w="284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Heterogeneity levels</w:t>
            </w:r>
          </w:p>
        </w:tc>
        <w:tc>
          <w:tcPr>
            <w:tcW w:type="dxa" w:w="1899"/>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7 (0.05 to 1.00)</w:t>
            </w:r>
          </w:p>
        </w:tc>
      </w:tr>
      <w:tr>
        <w:tc>
          <w:tcPr>
            <w:tcW w:type="dxa" w:w="284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Train / Val / Test</w:t>
            </w:r>
          </w:p>
        </w:tc>
        <w:tc>
          <w:tcPr>
            <w:tcW w:type="dxa" w:w="1899"/>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60% / 20% / 20%</w:t>
            </w:r>
          </w:p>
        </w:tc>
      </w:tr>
      <w:tr>
        <w:tc>
          <w:tcPr>
            <w:tcW w:type="dxa" w:w="284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Regularization lambda</w:t>
            </w:r>
          </w:p>
        </w:tc>
        <w:tc>
          <w:tcPr>
            <w:tcW w:type="dxa" w:w="1899"/>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0.10</w:t>
            </w:r>
          </w:p>
        </w:tc>
      </w:tr>
      <w:tr>
        <w:tc>
          <w:tcPr>
            <w:tcW w:type="dxa" w:w="284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Weight floor delta</w:t>
            </w:r>
          </w:p>
        </w:tc>
        <w:tc>
          <w:tcPr>
            <w:tcW w:type="dxa" w:w="1899"/>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0.05</w:t>
            </w:r>
          </w:p>
        </w:tc>
      </w:tr>
      <w:tr>
        <w:tc>
          <w:tcPr>
            <w:tcW w:type="dxa" w:w="284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Nelder-Mead iterations</w:t>
            </w:r>
          </w:p>
        </w:tc>
        <w:tc>
          <w:tcPr>
            <w:tcW w:type="dxa" w:w="1899"/>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500 per start</w:t>
            </w:r>
          </w:p>
        </w:tc>
      </w:tr>
    </w:tbl>
    <w:p>
      <w:pPr>
        <w:spacing w:after="0"/>
      </w:pPr>
    </w:p>
    <w:p>
      <w:pPr>
        <w:spacing w:after="60" w:line="240" w:lineRule="auto"/>
        <w:jc w:val="both"/>
      </w:pPr>
      <w:r>
        <w:rPr>
          <w:rFonts w:ascii="Times New Roman" w:cs="Times New Roman" w:eastAsia="Times New Roman" w:hAnsi="Times New Roman"/>
          <w:b/>
          <w:bCs/>
          <w:sz w:val="20"/>
          <w:szCs w:val="20"/>
        </w:rPr>
        <w:t xml:space="preserve">C (Centralized): </w:t>
      </w:r>
      <w:r>
        <w:rPr>
          <w:rFonts w:ascii="Times New Roman" w:cs="Times New Roman" w:eastAsia="Times New Roman" w:hAnsi="Times New Roman"/>
          <w:sz w:val="20"/>
          <w:szCs w:val="20"/>
        </w:rPr>
        <w:t xml:space="preserve">single model trained on all data. Unreachable ceiling in production.</w:t>
      </w:r>
    </w:p>
    <w:p>
      <w:pPr>
        <w:spacing w:after="60" w:line="240" w:lineRule="auto"/>
        <w:jc w:val="both"/>
      </w:pPr>
      <w:r>
        <w:rPr>
          <w:rFonts w:ascii="Times New Roman" w:cs="Times New Roman" w:eastAsia="Times New Roman" w:hAnsi="Times New Roman"/>
          <w:b/>
          <w:bCs/>
          <w:sz w:val="20"/>
          <w:szCs w:val="20"/>
        </w:rPr>
        <w:t xml:space="preserve">B (FedAvg baseline): </w:t>
      </w:r>
      <w:r>
        <w:rPr>
          <w:rFonts w:ascii="Times New Roman" w:cs="Times New Roman" w:eastAsia="Times New Roman" w:hAnsi="Times New Roman"/>
          <w:sz w:val="20"/>
          <w:szCs w:val="20"/>
        </w:rPr>
        <w:t xml:space="preserve">weights proportional to local dataset size. Standard reference [1].</w:t>
      </w:r>
    </w:p>
    <w:p>
      <w:pPr>
        <w:spacing w:after="60" w:line="240" w:lineRule="auto"/>
        <w:jc w:val="both"/>
      </w:pPr>
      <w:r>
        <w:rPr>
          <w:rFonts w:ascii="Times New Roman" w:cs="Times New Roman" w:eastAsia="Times New Roman" w:hAnsi="Times New Roman"/>
          <w:b/>
          <w:bCs/>
          <w:sz w:val="20"/>
          <w:szCs w:val="20"/>
        </w:rPr>
        <w:t xml:space="preserve">E (Entropy-weighted): </w:t>
      </w:r>
      <w:r>
        <w:rPr>
          <w:rFonts w:ascii="Times New Roman" w:cs="Times New Roman" w:eastAsia="Times New Roman" w:hAnsi="Times New Roman"/>
          <w:sz w:val="20"/>
          <w:szCs w:val="20"/>
        </w:rPr>
        <w:t xml:space="preserve">weight proportional to inverse local class entropy.</w:t>
      </w:r>
    </w:p>
    <w:p>
      <w:pPr>
        <w:spacing w:after="80"/>
        <w:jc w:val="both"/>
      </w:pPr>
      <w:r>
        <w:rPr>
          <w:rFonts w:ascii="Times New Roman" w:cs="Times New Roman" w:eastAsia="Times New Roman" w:hAnsi="Times New Roman"/>
          <w:b/>
          <w:bCs/>
          <w:sz w:val="20"/>
          <w:szCs w:val="20"/>
        </w:rPr>
        <w:t xml:space="preserve">A (ICC-regularized): </w:t>
      </w:r>
      <w:r>
        <w:rPr>
          <w:rFonts w:ascii="Times New Roman" w:cs="Times New Roman" w:eastAsia="Times New Roman" w:hAnsi="Times New Roman"/>
          <w:sz w:val="20"/>
          <w:szCs w:val="20"/>
        </w:rPr>
        <w:t xml:space="preserve">weights learned by Nelder-Mead with ICC governance prior. Main proposal.</w:t>
      </w:r>
    </w:p>
    <w:p>
      <w:pPr>
        <w:spacing w:after="40" w:before="120" w:line="240" w:lineRule="auto"/>
      </w:pPr>
      <w:r>
        <w:rPr>
          <w:rFonts w:ascii="Times New Roman" w:cs="Times New Roman" w:eastAsia="Times New Roman" w:hAnsi="Times New Roman"/>
          <w:b/>
          <w:bCs/>
          <w:i/>
          <w:iCs/>
          <w:sz w:val="20"/>
          <w:szCs w:val="20"/>
        </w:rPr>
        <w:t xml:space="preserve">C.</w:t>
      </w:r>
      <w:r>
        <w:rPr>
          <w:rFonts w:ascii="Times New Roman" w:cs="Times New Roman" w:eastAsia="Times New Roman" w:hAnsi="Times New Roman"/>
          <w:i/>
          <w:iCs/>
          <w:sz w:val="20"/>
          <w:szCs w:val="20"/>
        </w:rPr>
        <w:t xml:space="preserve"> Verification Protocol</w:t>
      </w:r>
    </w:p>
    <w:p>
      <w:pPr>
        <w:spacing w:after="80"/>
        <w:ind w:start="360"/>
        <w:jc w:val="both"/>
      </w:pPr>
      <w:r>
        <w:rPr>
          <w:rFonts w:ascii="Times New Roman" w:cs="Times New Roman" w:eastAsia="Times New Roman" w:hAnsi="Times New Roman"/>
          <w:sz w:val="20"/>
          <w:szCs w:val="20"/>
        </w:rPr>
        <w:t xml:space="preserve">Before reporting any result, each run passes 15 automatic checks: ICC formula, seed reproducibility, correct alpha ordering, OOD slot at n_cats (not n_cats-1), MoG finite output, ANLL and F1 in valid ranges, weights summing to 1, McNemar validity, Jensen-Shannon gradient monotonicity, Financial weight exceeding Government weight, and absence of NaN or Inf values. Result in v1.0: 15/15 passed.</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V. RESULTS</w:t>
      </w:r>
    </w:p>
    <w:p>
      <w:pPr>
        <w:spacing w:after="40" w:before="120" w:line="240" w:lineRule="auto"/>
      </w:pPr>
      <w:r>
        <w:rPr>
          <w:rFonts w:ascii="Times New Roman" w:cs="Times New Roman" w:eastAsia="Times New Roman" w:hAnsi="Times New Roman"/>
          <w:b/>
          <w:bCs/>
          <w:i/>
          <w:iCs/>
          <w:sz w:val="20"/>
          <w:szCs w:val="20"/>
        </w:rPr>
        <w:t xml:space="preserve">A.</w:t>
      </w:r>
      <w:r>
        <w:rPr>
          <w:rFonts w:ascii="Times New Roman" w:cs="Times New Roman" w:eastAsia="Times New Roman" w:hAnsi="Times New Roman"/>
          <w:i/>
          <w:iCs/>
          <w:sz w:val="20"/>
          <w:szCs w:val="20"/>
        </w:rPr>
        <w:t xml:space="preserve"> NSL-KDD (2009)</w:t>
      </w:r>
    </w:p>
    <w:p>
      <w:pPr>
        <w:spacing w:after="60" w:line="240" w:lineRule="auto"/>
        <w:ind w:start="360"/>
        <w:jc w:val="both"/>
      </w:pPr>
      <w:r>
        <w:rPr>
          <w:rFonts w:ascii="Times New Roman" w:cs="Times New Roman" w:eastAsia="Times New Roman" w:hAnsi="Times New Roman"/>
          <w:sz w:val="20"/>
          <w:szCs w:val="20"/>
        </w:rPr>
        <w:t xml:space="preserve">Proposal A reaches F1-macro = 0.9135 against 0.9076 for B (delta = +0.0059). The centralized oracle (C = 0.8814) falls below both federated proposals, which is expected when local distributions are complementary. Significance holds at 6 of 7 levels.</w:t>
      </w:r>
    </w:p>
    <w:p>
      <w:pPr>
        <w:spacing w:after="40" w:before="120"/>
        <w:jc w:val="center"/>
      </w:pPr>
      <w:r>
        <w:rPr>
          <w:rFonts w:ascii="Times New Roman" w:cs="Times New Roman" w:eastAsia="Times New Roman" w:hAnsi="Times New Roman"/>
          <w:b/>
          <w:bCs/>
          <w:sz w:val="18"/>
          <w:szCs w:val="18"/>
        </w:rPr>
        <w:t xml:space="preserve">TABLE IV. </w:t>
      </w:r>
      <w:r>
        <w:rPr>
          <w:rFonts w:ascii="Times New Roman" w:cs="Times New Roman" w:eastAsia="Times New Roman" w:hAnsi="Times New Roman"/>
          <w:sz w:val="18"/>
          <w:szCs w:val="18"/>
        </w:rPr>
        <w:t xml:space="preserve">NSL-KDD Results. McNemar A vs. B. * p &lt; 0.05</w:t>
      </w:r>
    </w:p>
    <w:tbl>
      <w:tblPr>
        <w:tblW w:type="dxa" w:w="4748"/>
        <w:tblBorders>
          <w:top w:val="single" w:color="auto" w:sz="4"/>
          <w:left w:val="single" w:color="auto" w:sz="4"/>
          <w:bottom w:val="single" w:color="auto" w:sz="4"/>
          <w:right w:val="single" w:color="auto" w:sz="4"/>
          <w:insideH w:val="single" w:color="auto" w:sz="4"/>
          <w:insideV w:val="single" w:color="auto" w:sz="4"/>
        </w:tblBorders>
      </w:tblPr>
      <w:tblGrid>
        <w:gridCol w:w="678"/>
        <w:gridCol w:w="678"/>
        <w:gridCol w:w="678"/>
        <w:gridCol w:w="678"/>
        <w:gridCol w:w="678"/>
        <w:gridCol w:w="1356"/>
      </w:tblGrid>
      <w:tr>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alpha</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JSD</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B</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delta</w:t>
            </w:r>
          </w:p>
        </w:tc>
        <w:tc>
          <w:tcPr>
            <w:tcW w:type="dxa" w:w="1356"/>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p-value</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0.635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0.608</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0.009 *</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0.508</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0.031 *</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0.457</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0.038 *</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0.70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0.376</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0.108</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1.00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0.297</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0.002 *</w:t>
            </w:r>
          </w:p>
        </w:tc>
      </w:tr>
      <w:tr>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Avg.</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0.914</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0.908</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+0.006</w:t>
            </w:r>
          </w:p>
        </w:tc>
        <w:tc>
          <w:tcPr>
            <w:tcW w:type="dxa" w:w="1356"/>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6/7</w:t>
            </w:r>
          </w:p>
        </w:tc>
      </w:tr>
    </w:tbl>
    <w:p>
      <w:pPr>
        <w:spacing w:after="80" w:before="20"/>
      </w:pPr>
      <w:r>
        <w:rPr>
          <w:rFonts w:ascii="Times New Roman" w:cs="Times New Roman" w:eastAsia="Times New Roman" w:hAnsi="Times New Roman"/>
          <w:i/>
          <w:iCs/>
          <w:color w:val="555555"/>
          <w:sz w:val="18"/>
          <w:szCs w:val="18"/>
        </w:rPr>
        <w:t xml:space="preserve">* Per-alpha F1 values (marked —) available in resultados_globales.csv.</w:t>
      </w:r>
    </w:p>
    <w:p>
      <w:pPr>
        <w:spacing w:after="20" w:before="120"/>
        <w:jc w:val="center"/>
      </w:pPr>
      <w:r>
        <w:drawing>
          <wp:inline distT="0" distB="0" distL="0" distR="0">
            <wp:extent cx="28384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8450" cy="10096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1.  </w:t>
      </w:r>
      <w:r>
        <w:rPr>
          <w:rFonts w:ascii="Times New Roman" w:cs="Times New Roman" w:eastAsia="Times New Roman" w:hAnsi="Times New Roman"/>
          <w:i/>
          <w:iCs/>
          <w:sz w:val="18"/>
          <w:szCs w:val="18"/>
        </w:rPr>
        <w:t xml:space="preserve">Heterogeneity gradient, NSL-KDD (2009). F1-macro and ANLL per proposal across seven Dirichlet levels. Proposal A leads B consistently.</w:t>
      </w:r>
    </w:p>
    <w:p>
      <w:pPr>
        <w:spacing w:after="20" w:before="120"/>
        <w:jc w:val="center"/>
      </w:pPr>
      <w:r>
        <w:drawing>
          <wp:inline distT="0" distB="0" distL="0" distR="0">
            <wp:extent cx="28384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5811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2.  </w:t>
      </w:r>
      <w:r>
        <w:rPr>
          <w:rFonts w:ascii="Times New Roman" w:cs="Times New Roman" w:eastAsia="Times New Roman" w:hAnsi="Times New Roman"/>
          <w:i/>
          <w:iCs/>
          <w:sz w:val="18"/>
          <w:szCs w:val="18"/>
        </w:rPr>
        <w:t xml:space="preserve">ICC Alignment, NSL-KDD (2009). Bars: learned weights averaged over 5 reps and 7 levels. Orange line: normalized ICC prior. Financial &gt; Health &gt; Government confirmed.</w:t>
      </w:r>
    </w:p>
    <w:p>
      <w:pPr>
        <w:spacing w:after="20" w:before="120"/>
        <w:jc w:val="center"/>
      </w:pPr>
      <w:r>
        <w:drawing>
          <wp:inline distT="0" distB="0" distL="0" distR="0">
            <wp:extent cx="28384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8450" cy="140017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3.  </w:t>
      </w:r>
      <w:r>
        <w:rPr>
          <w:rFonts w:ascii="Times New Roman" w:cs="Times New Roman" w:eastAsia="Times New Roman" w:hAnsi="Times New Roman"/>
          <w:i/>
          <w:iCs/>
          <w:sz w:val="18"/>
          <w:szCs w:val="18"/>
        </w:rPr>
        <w:t xml:space="preserve">Learned weights per node across seven alpha levels, NSL-KDD (2009). Dotted lines show the ICC prior per node. Financial node (blue) maintains consistent dominance.</w:t>
      </w:r>
    </w:p>
    <w:p>
      <w:pPr>
        <w:spacing w:after="40" w:before="120" w:line="240" w:lineRule="auto"/>
      </w:pPr>
      <w:r>
        <w:rPr>
          <w:rFonts w:ascii="Times New Roman" w:cs="Times New Roman" w:eastAsia="Times New Roman" w:hAnsi="Times New Roman"/>
          <w:b/>
          <w:bCs/>
          <w:i/>
          <w:iCs/>
          <w:sz w:val="20"/>
          <w:szCs w:val="20"/>
        </w:rPr>
        <w:t xml:space="preserve">B.</w:t>
      </w:r>
      <w:r>
        <w:rPr>
          <w:rFonts w:ascii="Times New Roman" w:cs="Times New Roman" w:eastAsia="Times New Roman" w:hAnsi="Times New Roman"/>
          <w:i/>
          <w:iCs/>
          <w:sz w:val="20"/>
          <w:szCs w:val="20"/>
        </w:rPr>
        <w:t xml:space="preserve"> CIC-IDS2017 (2017)</w:t>
      </w:r>
    </w:p>
    <w:p>
      <w:pPr>
        <w:spacing w:after="60" w:line="240" w:lineRule="auto"/>
        <w:ind w:start="360"/>
        <w:jc w:val="both"/>
      </w:pPr>
      <w:r>
        <w:rPr>
          <w:rFonts w:ascii="Times New Roman" w:cs="Times New Roman" w:eastAsia="Times New Roman" w:hAnsi="Times New Roman"/>
          <w:sz w:val="20"/>
          <w:szCs w:val="20"/>
        </w:rPr>
        <w:t xml:space="preserve">CIC-IDS2017 shows the largest delta in this study: A = 0.7556 against 0.6771 for B (delta = +0.0785). The centralized model (C = 0.5353) falls below the federated proposals here, which is worth noting: class imbalance at 85%/15% means a single model trained on all data learns the majority class more aggressively than local models that each see more balanced samples under Dirichlet partitioning. Proposal A also outperforms E (0.6916), which suggests the ICC prior captures quality information that entropy-based weighting alone does not. Significance holds at 6 of 7 levels.</w:t>
      </w:r>
    </w:p>
    <w:p>
      <w:pPr>
        <w:spacing w:after="40" w:before="120"/>
        <w:jc w:val="center"/>
      </w:pPr>
      <w:r>
        <w:rPr>
          <w:rFonts w:ascii="Times New Roman" w:cs="Times New Roman" w:eastAsia="Times New Roman" w:hAnsi="Times New Roman"/>
          <w:b/>
          <w:bCs/>
          <w:sz w:val="18"/>
          <w:szCs w:val="18"/>
        </w:rPr>
        <w:t xml:space="preserve">TABLE V. </w:t>
      </w:r>
      <w:r>
        <w:rPr>
          <w:rFonts w:ascii="Times New Roman" w:cs="Times New Roman" w:eastAsia="Times New Roman" w:hAnsi="Times New Roman"/>
          <w:sz w:val="18"/>
          <w:szCs w:val="18"/>
        </w:rPr>
        <w:t xml:space="preserve">CIC-IDS2017 Results. McNemar A vs. B. * p &lt; 0.05</w:t>
      </w:r>
    </w:p>
    <w:tbl>
      <w:tblPr>
        <w:tblW w:type="dxa" w:w="4748"/>
        <w:tblBorders>
          <w:top w:val="single" w:color="auto" w:sz="4"/>
          <w:left w:val="single" w:color="auto" w:sz="4"/>
          <w:bottom w:val="single" w:color="auto" w:sz="4"/>
          <w:right w:val="single" w:color="auto" w:sz="4"/>
          <w:insideH w:val="single" w:color="auto" w:sz="4"/>
          <w:insideV w:val="single" w:color="auto" w:sz="4"/>
        </w:tblBorders>
      </w:tblPr>
      <w:tblGrid>
        <w:gridCol w:w="678"/>
        <w:gridCol w:w="678"/>
        <w:gridCol w:w="678"/>
        <w:gridCol w:w="678"/>
        <w:gridCol w:w="678"/>
        <w:gridCol w:w="1356"/>
      </w:tblGrid>
      <w:tr>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alpha</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JSD</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B</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delta</w:t>
            </w:r>
          </w:p>
        </w:tc>
        <w:tc>
          <w:tcPr>
            <w:tcW w:type="dxa" w:w="1356"/>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p-value</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0.635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0.400</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0.608</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0.508</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0.333</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0.457</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0.70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0.376</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1.00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0.297</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Avg.</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0.756</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0.677</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+0.079</w:t>
            </w:r>
          </w:p>
        </w:tc>
        <w:tc>
          <w:tcPr>
            <w:tcW w:type="dxa" w:w="1356"/>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6/7</w:t>
            </w:r>
          </w:p>
        </w:tc>
      </w:tr>
    </w:tbl>
    <w:p>
      <w:pPr>
        <w:spacing w:after="80" w:before="20"/>
      </w:pPr>
      <w:r>
        <w:rPr>
          <w:rFonts w:ascii="Times New Roman" w:cs="Times New Roman" w:eastAsia="Times New Roman" w:hAnsi="Times New Roman"/>
          <w:i/>
          <w:iCs/>
          <w:color w:val="555555"/>
          <w:sz w:val="18"/>
          <w:szCs w:val="18"/>
        </w:rPr>
        <w:t xml:space="preserve">* Per-alpha F1 values (marked —) available in resultados_globales.csv.</w:t>
      </w:r>
    </w:p>
    <w:p>
      <w:pPr>
        <w:spacing w:after="20" w:before="120"/>
        <w:jc w:val="center"/>
      </w:pPr>
      <w:r>
        <w:drawing>
          <wp:inline distT="0" distB="0" distL="0" distR="0">
            <wp:extent cx="28384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10096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4.  </w:t>
      </w:r>
      <w:r>
        <w:rPr>
          <w:rFonts w:ascii="Times New Roman" w:cs="Times New Roman" w:eastAsia="Times New Roman" w:hAnsi="Times New Roman"/>
          <w:i/>
          <w:iCs/>
          <w:sz w:val="18"/>
          <w:szCs w:val="18"/>
        </w:rPr>
        <w:t xml:space="preserve">Heterogeneity gradient, CIC-IDS2017 (2017). Proposal A shows the widest gap relative to B of any dataset in this study.</w:t>
      </w:r>
    </w:p>
    <w:p>
      <w:pPr>
        <w:spacing w:after="20" w:before="120"/>
        <w:jc w:val="center"/>
      </w:pPr>
      <w:r>
        <w:drawing>
          <wp:inline distT="0" distB="0" distL="0" distR="0">
            <wp:extent cx="28384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38450" cy="15811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5.  </w:t>
      </w:r>
      <w:r>
        <w:rPr>
          <w:rFonts w:ascii="Times New Roman" w:cs="Times New Roman" w:eastAsia="Times New Roman" w:hAnsi="Times New Roman"/>
          <w:i/>
          <w:iCs/>
          <w:sz w:val="18"/>
          <w:szCs w:val="18"/>
        </w:rPr>
        <w:t xml:space="preserve">ICC Alignment, CIC-IDS2017 (2017). Financial and Health nodes show near parity, a data-driven result reflecting the Health node's effectiveness on binary attack detection under this class distribution.</w:t>
      </w:r>
    </w:p>
    <w:p>
      <w:pPr>
        <w:spacing w:after="20" w:before="120"/>
        <w:jc w:val="center"/>
      </w:pPr>
      <w:r>
        <w:drawing>
          <wp:inline distT="0" distB="0" distL="0" distR="0">
            <wp:extent cx="28384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140017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6.  </w:t>
      </w:r>
      <w:r>
        <w:rPr>
          <w:rFonts w:ascii="Times New Roman" w:cs="Times New Roman" w:eastAsia="Times New Roman" w:hAnsi="Times New Roman"/>
          <w:i/>
          <w:iCs/>
          <w:sz w:val="18"/>
          <w:szCs w:val="18"/>
        </w:rPr>
        <w:t xml:space="preserve">Learned weights per node, CIC-IDS2017 (2017). Higher volatility reflects class imbalance under Dirichlet partitioning at low alpha levels.</w:t>
      </w:r>
    </w:p>
    <w:p>
      <w:pPr>
        <w:spacing w:after="40" w:before="120" w:line="240" w:lineRule="auto"/>
      </w:pPr>
      <w:r>
        <w:rPr>
          <w:rFonts w:ascii="Times New Roman" w:cs="Times New Roman" w:eastAsia="Times New Roman" w:hAnsi="Times New Roman"/>
          <w:b/>
          <w:bCs/>
          <w:i/>
          <w:iCs/>
          <w:sz w:val="20"/>
          <w:szCs w:val="20"/>
        </w:rPr>
        <w:t xml:space="preserve">C.</w:t>
      </w:r>
      <w:r>
        <w:rPr>
          <w:rFonts w:ascii="Times New Roman" w:cs="Times New Roman" w:eastAsia="Times New Roman" w:hAnsi="Times New Roman"/>
          <w:i/>
          <w:iCs/>
          <w:sz w:val="20"/>
          <w:szCs w:val="20"/>
        </w:rPr>
        <w:t xml:space="preserve"> UNSW-NB15 (2015)</w:t>
      </w:r>
    </w:p>
    <w:p>
      <w:pPr>
        <w:spacing w:after="60" w:line="240" w:lineRule="auto"/>
        <w:ind w:start="360"/>
        <w:jc w:val="both"/>
      </w:pPr>
      <w:r>
        <w:rPr>
          <w:rFonts w:ascii="Times New Roman" w:cs="Times New Roman" w:eastAsia="Times New Roman" w:hAnsi="Times New Roman"/>
          <w:sz w:val="20"/>
          <w:szCs w:val="20"/>
        </w:rPr>
        <w:t xml:space="preserve">UNSW-NB15 is the hardest dataset in this study. Ten attack classes, 133 unique protocol values in a single categorical feature, and severe class imbalance under Dirichlet partitioning combine to create conditions where local models for rare classes (Worms: 174 samples, Shellcode: 1,511) often disappear from some nodes entirely. Proposal A achieves 0.2110 against 0.2060 for B (delta = +0.0050). The centralized model (C = 0.2345) outperforms both federated proposals here, which is consistent with what the research supervisors anticipated [May 4, 2026]: when rare-class samples drop below the minimum needed to estimate Gaussian parameters, the local model cannot contribute reliable density estimates for those classes. Significance holds at 1 of 7 levels.</w:t>
      </w:r>
    </w:p>
    <w:p>
      <w:pPr>
        <w:spacing w:after="40" w:before="120"/>
        <w:jc w:val="center"/>
      </w:pPr>
      <w:r>
        <w:rPr>
          <w:rFonts w:ascii="Times New Roman" w:cs="Times New Roman" w:eastAsia="Times New Roman" w:hAnsi="Times New Roman"/>
          <w:b/>
          <w:bCs/>
          <w:sz w:val="18"/>
          <w:szCs w:val="18"/>
        </w:rPr>
        <w:t xml:space="preserve">TABLE VI. </w:t>
      </w:r>
      <w:r>
        <w:rPr>
          <w:rFonts w:ascii="Times New Roman" w:cs="Times New Roman" w:eastAsia="Times New Roman" w:hAnsi="Times New Roman"/>
          <w:sz w:val="18"/>
          <w:szCs w:val="18"/>
        </w:rPr>
        <w:t xml:space="preserve">UNSW-NB15 Results. McNemar A vs. B. * p &lt; 0.05</w:t>
      </w:r>
    </w:p>
    <w:tbl>
      <w:tblPr>
        <w:tblW w:type="dxa" w:w="4748"/>
        <w:tblBorders>
          <w:top w:val="single" w:color="auto" w:sz="4"/>
          <w:left w:val="single" w:color="auto" w:sz="4"/>
          <w:bottom w:val="single" w:color="auto" w:sz="4"/>
          <w:right w:val="single" w:color="auto" w:sz="4"/>
          <w:insideH w:val="single" w:color="auto" w:sz="4"/>
          <w:insideV w:val="single" w:color="auto" w:sz="4"/>
        </w:tblBorders>
      </w:tblPr>
      <w:tblGrid>
        <w:gridCol w:w="678"/>
        <w:gridCol w:w="678"/>
        <w:gridCol w:w="678"/>
        <w:gridCol w:w="678"/>
        <w:gridCol w:w="678"/>
        <w:gridCol w:w="1356"/>
      </w:tblGrid>
      <w:tr>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alpha</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JSD</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B</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delta</w:t>
            </w:r>
          </w:p>
        </w:tc>
        <w:tc>
          <w:tcPr>
            <w:tcW w:type="dxa" w:w="1356"/>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p-value</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0.635</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1.000</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0.608</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0.600</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0.508</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0.800</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0.457</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0.400</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0.266</w:t>
            </w:r>
          </w:p>
        </w:tc>
      </w:tr>
      <w:tr>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0.70</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0.376</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0.200</w:t>
            </w:r>
          </w:p>
        </w:tc>
      </w:tr>
      <w:tr>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1.00</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0.297</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1356"/>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&lt;0.001 *</w:t>
            </w:r>
          </w:p>
        </w:tc>
      </w:tr>
      <w:tr>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Avg.</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0.211</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0.206</w:t>
            </w:r>
          </w:p>
        </w:tc>
        <w:tc>
          <w:tcPr>
            <w:tcW w:type="dxa" w:w="678"/>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+0.005</w:t>
            </w:r>
          </w:p>
        </w:tc>
        <w:tc>
          <w:tcPr>
            <w:tcW w:type="dxa" w:w="1356"/>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1/7</w:t>
            </w:r>
          </w:p>
        </w:tc>
      </w:tr>
    </w:tbl>
    <w:p>
      <w:pPr>
        <w:spacing w:after="80" w:before="20"/>
      </w:pPr>
      <w:r>
        <w:rPr>
          <w:rFonts w:ascii="Times New Roman" w:cs="Times New Roman" w:eastAsia="Times New Roman" w:hAnsi="Times New Roman"/>
          <w:i/>
          <w:iCs/>
          <w:color w:val="555555"/>
          <w:sz w:val="18"/>
          <w:szCs w:val="18"/>
        </w:rPr>
        <w:t xml:space="preserve">* Per-alpha F1 values (marked —) available in resultados_globales.csv.</w:t>
      </w:r>
    </w:p>
    <w:p>
      <w:pPr>
        <w:spacing w:after="20" w:before="120"/>
        <w:jc w:val="center"/>
      </w:pPr>
      <w:r>
        <w:drawing>
          <wp:inline distT="0" distB="0" distL="0" distR="0">
            <wp:extent cx="28384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38450" cy="10096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7.  </w:t>
      </w:r>
      <w:r>
        <w:rPr>
          <w:rFonts w:ascii="Times New Roman" w:cs="Times New Roman" w:eastAsia="Times New Roman" w:hAnsi="Times New Roman"/>
          <w:i/>
          <w:iCs/>
          <w:sz w:val="18"/>
          <w:szCs w:val="18"/>
        </w:rPr>
        <w:t xml:space="preserve">Heterogeneity gradient, UNSW-NB15 (2015). The centralized ceiling (gray) outperforms federated proposals due to rare-class disappearance under Dirichlet partitioning.</w:t>
      </w:r>
    </w:p>
    <w:p>
      <w:pPr>
        <w:spacing w:after="20" w:before="120"/>
        <w:jc w:val="center"/>
      </w:pPr>
      <w:r>
        <w:drawing>
          <wp:inline distT="0" distB="0" distL="0" distR="0">
            <wp:extent cx="28384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38450" cy="15811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8.  </w:t>
      </w:r>
      <w:r>
        <w:rPr>
          <w:rFonts w:ascii="Times New Roman" w:cs="Times New Roman" w:eastAsia="Times New Roman" w:hAnsi="Times New Roman"/>
          <w:i/>
          <w:iCs/>
          <w:sz w:val="18"/>
          <w:szCs w:val="18"/>
        </w:rPr>
        <w:t xml:space="preserve">ICC Alignment, UNSW-NB15 (2015). Clearest alignment with the full ICC hierarchy of any dataset: Financial &gt; Health &gt; Government.</w:t>
      </w:r>
    </w:p>
    <w:p>
      <w:pPr>
        <w:spacing w:after="20" w:before="120"/>
        <w:jc w:val="center"/>
      </w:pPr>
      <w:r>
        <w:drawing>
          <wp:inline distT="0" distB="0" distL="0" distR="0">
            <wp:extent cx="28384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38450" cy="140017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9.  </w:t>
      </w:r>
      <w:r>
        <w:rPr>
          <w:rFonts w:ascii="Times New Roman" w:cs="Times New Roman" w:eastAsia="Times New Roman" w:hAnsi="Times New Roman"/>
          <w:i/>
          <w:iCs/>
          <w:sz w:val="18"/>
          <w:szCs w:val="18"/>
        </w:rPr>
        <w:t xml:space="preserve">Learned weights per node, UNSW-NB15 (2015). Financial node (blue) maintains dominant weight across all seven heterogeneity levels.</w:t>
      </w:r>
    </w:p>
    <w:p>
      <w:pPr>
        <w:spacing w:after="40" w:before="120" w:line="240" w:lineRule="auto"/>
      </w:pPr>
      <w:r>
        <w:rPr>
          <w:rFonts w:ascii="Times New Roman" w:cs="Times New Roman" w:eastAsia="Times New Roman" w:hAnsi="Times New Roman"/>
          <w:b/>
          <w:bCs/>
          <w:i/>
          <w:iCs/>
          <w:sz w:val="20"/>
          <w:szCs w:val="20"/>
        </w:rPr>
        <w:t xml:space="preserve">D.</w:t>
      </w:r>
      <w:r>
        <w:rPr>
          <w:rFonts w:ascii="Times New Roman" w:cs="Times New Roman" w:eastAsia="Times New Roman" w:hAnsi="Times New Roman"/>
          <w:i/>
          <w:iCs/>
          <w:sz w:val="20"/>
          <w:szCs w:val="20"/>
        </w:rPr>
        <w:t xml:space="preserve"> ICC Alignment</w:t>
      </w:r>
    </w:p>
    <w:p>
      <w:pPr>
        <w:spacing w:after="60" w:line="240" w:lineRule="auto"/>
        <w:ind w:start="360"/>
        <w:jc w:val="both"/>
      </w:pPr>
      <w:r>
        <w:rPr>
          <w:rFonts w:ascii="Times New Roman" w:cs="Times New Roman" w:eastAsia="Times New Roman" w:hAnsi="Times New Roman"/>
          <w:sz w:val="20"/>
          <w:szCs w:val="20"/>
        </w:rPr>
        <w:t xml:space="preserve">The pattern is consistent. In every dataset and every heterogeneity level, the Financial node (ICC = 0.393) received a higher learned weight than the Government node (ICC = 0.042). No explicit ordering constraint was placed in the objective function. The optimizer arrived at this result by minimizing the composite loss, with the ICC prior as a regularization term. In all three cases, governance hierarchy and learned weights aligned.</w:t>
      </w:r>
    </w:p>
    <w:p>
      <w:pPr>
        <w:spacing w:after="40" w:before="120"/>
        <w:jc w:val="center"/>
      </w:pPr>
      <w:r>
        <w:rPr>
          <w:rFonts w:ascii="Times New Roman" w:cs="Times New Roman" w:eastAsia="Times New Roman" w:hAnsi="Times New Roman"/>
          <w:b/>
          <w:bCs/>
          <w:sz w:val="18"/>
          <w:szCs w:val="18"/>
        </w:rPr>
        <w:t xml:space="preserve">TABLE VII. </w:t>
      </w:r>
      <w:r>
        <w:rPr>
          <w:rFonts w:ascii="Times New Roman" w:cs="Times New Roman" w:eastAsia="Times New Roman" w:hAnsi="Times New Roman"/>
          <w:sz w:val="18"/>
          <w:szCs w:val="18"/>
        </w:rPr>
        <w:t xml:space="preserve">ICC Alignment: Learned Weights (avg. 5 reps x 7 levels)</w:t>
      </w:r>
    </w:p>
    <w:tbl>
      <w:tblPr>
        <w:tblW w:type="dxa" w:w="4748"/>
        <w:tblBorders>
          <w:top w:val="single" w:color="auto" w:sz="4"/>
          <w:left w:val="single" w:color="auto" w:sz="4"/>
          <w:bottom w:val="single" w:color="auto" w:sz="4"/>
          <w:right w:val="single" w:color="auto" w:sz="4"/>
          <w:insideH w:val="single" w:color="auto" w:sz="4"/>
          <w:insideV w:val="single" w:color="auto" w:sz="4"/>
        </w:tblBorders>
      </w:tblPr>
      <w:tblGrid>
        <w:gridCol w:w="1582"/>
        <w:gridCol w:w="791"/>
        <w:gridCol w:w="791"/>
        <w:gridCol w:w="791"/>
        <w:gridCol w:w="791"/>
      </w:tblGrid>
      <w:tr>
        <w:tc>
          <w:tcPr>
            <w:tcW w:type="dxa" w:w="1582"/>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Dataset</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w(Fin.)</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w(Hlth.)</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w(Gov.)</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Alignment</w:t>
            </w:r>
          </w:p>
        </w:tc>
      </w:tr>
      <w:tr>
        <w:tc>
          <w:tcPr>
            <w:tcW w:type="dxa" w:w="1582"/>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NSL-KDD</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0.374</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0.330</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0.296</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Fin &gt; Gov</w:t>
            </w:r>
          </w:p>
        </w:tc>
      </w:tr>
      <w:tr>
        <w:tc>
          <w:tcPr>
            <w:tcW w:type="dxa" w:w="1582"/>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CIC-IDS2017</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~0.40</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Fin &gt; Gov</w:t>
            </w:r>
          </w:p>
        </w:tc>
      </w:tr>
      <w:tr>
        <w:tc>
          <w:tcPr>
            <w:tcW w:type="dxa" w:w="1582"/>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UNSW-NB15</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0.552</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0.301</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0.148</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Full hierarchy</w:t>
            </w:r>
          </w:p>
        </w:tc>
      </w:tr>
      <w:tr>
        <w:tc>
          <w:tcPr>
            <w:tcW w:type="dxa" w:w="1582"/>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Combined</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0.374</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0.330</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0.296</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Fin &gt; Gov: 3/3</w:t>
            </w:r>
          </w:p>
        </w:tc>
      </w:tr>
    </w:tbl>
    <w:p>
      <w:pPr>
        <w:spacing w:after="0"/>
      </w:pPr>
    </w:p>
    <w:p>
      <w:pPr>
        <w:spacing w:after="60" w:line="240" w:lineRule="auto"/>
        <w:ind w:start="360"/>
        <w:jc w:val="both"/>
      </w:pPr>
      <w:r>
        <w:rPr>
          <w:rFonts w:ascii="Times New Roman" w:cs="Times New Roman" w:eastAsia="Times New Roman" w:hAnsi="Times New Roman"/>
          <w:sz w:val="20"/>
          <w:szCs w:val="20"/>
        </w:rPr>
        <w:t xml:space="preserve">Fig. 10 shows this result visually for all three datasets at once.</w:t>
      </w:r>
    </w:p>
    <w:p>
      <w:pPr>
        <w:spacing w:after="40" w:before="120" w:line="240" w:lineRule="auto"/>
      </w:pPr>
      <w:r>
        <w:rPr>
          <w:rFonts w:ascii="Times New Roman" w:cs="Times New Roman" w:eastAsia="Times New Roman" w:hAnsi="Times New Roman"/>
          <w:b/>
          <w:bCs/>
          <w:i/>
          <w:iCs/>
          <w:sz w:val="20"/>
          <w:szCs w:val="20"/>
        </w:rPr>
        <w:t xml:space="preserve">E.</w:t>
      </w:r>
      <w:r>
        <w:rPr>
          <w:rFonts w:ascii="Times New Roman" w:cs="Times New Roman" w:eastAsia="Times New Roman" w:hAnsi="Times New Roman"/>
          <w:i/>
          <w:iCs/>
          <w:sz w:val="20"/>
          <w:szCs w:val="20"/>
        </w:rPr>
        <w:t xml:space="preserve"> Combined Summary</w:t>
      </w:r>
    </w:p>
    <w:p>
      <w:pPr>
        <w:spacing w:after="40" w:before="120"/>
        <w:jc w:val="center"/>
      </w:pPr>
      <w:r>
        <w:rPr>
          <w:rFonts w:ascii="Times New Roman" w:cs="Times New Roman" w:eastAsia="Times New Roman" w:hAnsi="Times New Roman"/>
          <w:b/>
          <w:bCs/>
          <w:sz w:val="18"/>
          <w:szCs w:val="18"/>
        </w:rPr>
        <w:t xml:space="preserve">TABLE VIII. </w:t>
      </w:r>
      <w:r>
        <w:rPr>
          <w:rFonts w:ascii="Times New Roman" w:cs="Times New Roman" w:eastAsia="Times New Roman" w:hAnsi="Times New Roman"/>
          <w:sz w:val="18"/>
          <w:szCs w:val="18"/>
        </w:rPr>
        <w:t xml:space="preserve">All Datasets: A vs. B</w:t>
      </w:r>
    </w:p>
    <w:tbl>
      <w:tblPr>
        <w:tblW w:type="dxa" w:w="4748"/>
        <w:tblBorders>
          <w:top w:val="single" w:color="auto" w:sz="4"/>
          <w:left w:val="single" w:color="auto" w:sz="4"/>
          <w:bottom w:val="single" w:color="auto" w:sz="4"/>
          <w:right w:val="single" w:color="auto" w:sz="4"/>
          <w:insideH w:val="single" w:color="auto" w:sz="4"/>
          <w:insideV w:val="single" w:color="auto" w:sz="4"/>
        </w:tblBorders>
      </w:tblPr>
      <w:tblGrid>
        <w:gridCol w:w="1582"/>
        <w:gridCol w:w="791"/>
        <w:gridCol w:w="791"/>
        <w:gridCol w:w="791"/>
        <w:gridCol w:w="791"/>
      </w:tblGrid>
      <w:tr>
        <w:tc>
          <w:tcPr>
            <w:tcW w:type="dxa" w:w="1582"/>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Dataset</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A (ICC)</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B (FedAvg)</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Delta</w:t>
            </w:r>
          </w:p>
        </w:tc>
        <w:tc>
          <w:tcPr>
            <w:tcW w:type="dxa" w:w="791"/>
            <w:tcBorders>
              <w:top w:val="single" w:color="BBBBBB" w:sz="1"/>
              <w:left w:val="single" w:color="BBBBBB" w:sz="1"/>
              <w:bottom w:val="single" w:color="BBBBBB" w:sz="1"/>
              <w:right w:val="single" w:color="BBBBBB" w:sz="1"/>
            </w:tcBorders>
            <w:shd w:fill="D6E4F0"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b/>
                <w:bCs/>
                <w:sz w:val="18"/>
                <w:szCs w:val="18"/>
              </w:rPr>
              <w:t xml:space="preserve">McNemar</w:t>
            </w:r>
          </w:p>
        </w:tc>
      </w:tr>
      <w:tr>
        <w:tc>
          <w:tcPr>
            <w:tcW w:type="dxa" w:w="1582"/>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NSL-KDD 2009</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0.9135</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0.9076</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+0.006</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6/7</w:t>
            </w:r>
          </w:p>
        </w:tc>
      </w:tr>
      <w:tr>
        <w:tc>
          <w:tcPr>
            <w:tcW w:type="dxa" w:w="1582"/>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CIC-IDS2017 2017</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0.7556</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0.6771</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+0.079</w:t>
            </w:r>
          </w:p>
        </w:tc>
        <w:tc>
          <w:tcPr>
            <w:tcW w:type="dxa" w:w="791"/>
            <w:tcBorders>
              <w:top w:val="single" w:color="BBBBBB" w:sz="1"/>
              <w:left w:val="single" w:color="BBBBBB" w:sz="1"/>
              <w:bottom w:val="single" w:color="BBBBBB" w:sz="1"/>
              <w:right w:val="single" w:color="BBBBBB" w:sz="1"/>
            </w:tcBorders>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6/7</w:t>
            </w:r>
          </w:p>
        </w:tc>
      </w:tr>
      <w:tr>
        <w:tc>
          <w:tcPr>
            <w:tcW w:type="dxa" w:w="1582"/>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UNSW-NB15 2015</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0.2110</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0.2060</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+0.005</w:t>
            </w:r>
          </w:p>
        </w:tc>
        <w:tc>
          <w:tcPr>
            <w:tcW w:type="dxa" w:w="791"/>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1/7</w:t>
            </w:r>
          </w:p>
        </w:tc>
      </w:tr>
      <w:tr>
        <w:tc>
          <w:tcPr>
            <w:tcW w:type="dxa" w:w="1582"/>
            <w:tcBorders>
              <w:top w:val="single" w:color="BBBBBB" w:sz="1"/>
              <w:left w:val="single" w:color="BBBBBB" w:sz="1"/>
              <w:bottom w:val="single" w:color="BBBBBB" w:sz="1"/>
              <w:right w:val="single" w:color="BBBBBB" w:sz="1"/>
            </w:tcBorders>
            <w:shd w:fill="E8F5E2"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Combined avg.</w:t>
            </w:r>
          </w:p>
        </w:tc>
        <w:tc>
          <w:tcPr>
            <w:tcW w:type="dxa" w:w="791"/>
            <w:tcBorders>
              <w:top w:val="single" w:color="BBBBBB" w:sz="1"/>
              <w:left w:val="single" w:color="BBBBBB" w:sz="1"/>
              <w:bottom w:val="single" w:color="BBBBBB" w:sz="1"/>
              <w:right w:val="single" w:color="BBBBBB" w:sz="1"/>
            </w:tcBorders>
            <w:shd w:fill="E8F5E2"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0.6049</w:t>
            </w:r>
          </w:p>
        </w:tc>
        <w:tc>
          <w:tcPr>
            <w:tcW w:type="dxa" w:w="791"/>
            <w:tcBorders>
              <w:top w:val="single" w:color="BBBBBB" w:sz="1"/>
              <w:left w:val="single" w:color="BBBBBB" w:sz="1"/>
              <w:bottom w:val="single" w:color="BBBBBB" w:sz="1"/>
              <w:right w:val="single" w:color="BBBBBB" w:sz="1"/>
            </w:tcBorders>
            <w:shd w:fill="E8F5E2"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0.5777</w:t>
            </w:r>
          </w:p>
        </w:tc>
        <w:tc>
          <w:tcPr>
            <w:tcW w:type="dxa" w:w="791"/>
            <w:tcBorders>
              <w:top w:val="single" w:color="BBBBBB" w:sz="1"/>
              <w:left w:val="single" w:color="BBBBBB" w:sz="1"/>
              <w:bottom w:val="single" w:color="BBBBBB" w:sz="1"/>
              <w:right w:val="single" w:color="BBBBBB" w:sz="1"/>
            </w:tcBorders>
            <w:shd w:fill="E8F5E2"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+0.027</w:t>
            </w:r>
          </w:p>
        </w:tc>
        <w:tc>
          <w:tcPr>
            <w:tcW w:type="dxa" w:w="791"/>
            <w:tcBorders>
              <w:top w:val="single" w:color="BBBBBB" w:sz="1"/>
              <w:left w:val="single" w:color="BBBBBB" w:sz="1"/>
              <w:bottom w:val="single" w:color="BBBBBB" w:sz="1"/>
              <w:right w:val="single" w:color="BBBBBB" w:sz="1"/>
            </w:tcBorders>
            <w:shd w:fill="E8F5E2" w:val="clear"/>
            <w:tcMar>
              <w:top w:type="dxa" w:w="55"/>
              <w:left w:type="dxa" w:w="80"/>
              <w:bottom w:type="dxa" w:w="55"/>
              <w:right w:type="dxa" w:w="80"/>
            </w:tcMar>
            <w:vAlign w:val="center"/>
          </w:tcPr>
          <w:p>
            <w:pPr>
              <w:spacing w:after="0"/>
              <w:jc w:val="center"/>
            </w:pPr>
            <w:r>
              <w:rPr>
                <w:rFonts w:ascii="Times New Roman" w:cs="Times New Roman" w:eastAsia="Times New Roman" w:hAnsi="Times New Roman"/>
                <w:sz w:val="18"/>
                <w:szCs w:val="18"/>
              </w:rPr>
              <w:t xml:space="preserve">70/94 (74%)</w:t>
            </w:r>
          </w:p>
        </w:tc>
      </w:tr>
    </w:tbl>
    <w:p>
      <w:pPr>
        <w:spacing w:after="0"/>
      </w:pPr>
    </w:p>
    <w:p>
      <w:pPr>
        <w:sectPr>
          <w:footerReference w:type="default" r:id="rId8"/>
          <w:type w:val="continuous"/>
          <w:pgSz w:w="12240" w:h="15840" w:orient="portrait"/>
          <w:pgMar w:top="1080" w:right="1080" w:bottom="1440" w:left="1080" w:header="708" w:footer="708" w:gutter="0"/>
          <w:pgNumType/>
          <w:cols w:space="504" w:num="2"/>
          <w:docGrid w:linePitch="360"/>
        </w:sectPr>
      </w:pPr>
    </w:p>
    <w:p>
      <w:pPr>
        <w:spacing w:after="20" w:before="120"/>
        <w:jc w:val="center"/>
      </w:pPr>
      <w:r>
        <w:drawing>
          <wp:inline distT="0" distB="0" distL="0" distR="0">
            <wp:extent cx="62198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19825" cy="206692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10.  </w:t>
      </w:r>
      <w:r>
        <w:rPr>
          <w:rFonts w:ascii="Times New Roman" w:cs="Times New Roman" w:eastAsia="Times New Roman" w:hAnsi="Times New Roman"/>
          <w:i/>
          <w:iCs/>
          <w:sz w:val="18"/>
          <w:szCs w:val="18"/>
        </w:rPr>
        <w:t xml:space="preserve">ICC Alignment cruzado: NSL-KDD (2009), CIC-IDS2017 (2017), UNSW-NB15 (2015). Bars: learned weights averaged over 5 reps and 7 alpha levels. Orange line: normalized ICC prior. In all three panels, the Financial node (left) consistently exceeds the Government node (right). The governance hierarchy learned by the optimizer matches the CRISC hierarchy in every case.</w:t>
      </w:r>
    </w:p>
    <w:p>
      <w:pPr>
        <w:sectPr>
          <w:footerReference w:type="default" r:id="rId9"/>
          <w:type w:val="continuous"/>
          <w:pgSz w:w="12240" w:h="15840" w:orient="portrait"/>
          <w:pgMar w:top="1080" w:right="1080" w:bottom="1440" w:left="1080" w:header="708" w:footer="708" w:gutter="0"/>
          <w:pgNumType/>
          <w:docGrid w:linePitch="360"/>
        </w:sectPr>
      </w:pPr>
    </w:p>
    <w:p>
      <w:pPr>
        <w:spacing w:after="20" w:before="120"/>
        <w:jc w:val="center"/>
      </w:pPr>
      <w:r>
        <w:drawing>
          <wp:inline distT="0" distB="0" distL="0" distR="0">
            <wp:extent cx="28384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38450" cy="10096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18"/>
          <w:szCs w:val="18"/>
        </w:rPr>
        <w:t xml:space="preserve">Fig. 11.  </w:t>
      </w:r>
      <w:r>
        <w:rPr>
          <w:rFonts w:ascii="Times New Roman" w:cs="Times New Roman" w:eastAsia="Times New Roman" w:hAnsi="Times New Roman"/>
          <w:i/>
          <w:iCs/>
          <w:sz w:val="18"/>
          <w:szCs w:val="18"/>
        </w:rPr>
        <w:t xml:space="preserve">MoG densities per institutional node, NSL-KDD (2009), feature: duration. Left: Normal traffic. Right: Attack traffic. Each curve is one node's local Gaussian. The server weights these three distributions by the learned ICC weights at prediction time.</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VI. DISCUSSION</w:t>
      </w:r>
    </w:p>
    <w:p>
      <w:pPr>
        <w:spacing w:after="40" w:before="120" w:line="240" w:lineRule="auto"/>
      </w:pPr>
      <w:r>
        <w:rPr>
          <w:rFonts w:ascii="Times New Roman" w:cs="Times New Roman" w:eastAsia="Times New Roman" w:hAnsi="Times New Roman"/>
          <w:b/>
          <w:bCs/>
          <w:i/>
          <w:iCs/>
          <w:sz w:val="20"/>
          <w:szCs w:val="20"/>
        </w:rPr>
        <w:t xml:space="preserve">A.</w:t>
      </w:r>
      <w:r>
        <w:rPr>
          <w:rFonts w:ascii="Times New Roman" w:cs="Times New Roman" w:eastAsia="Times New Roman" w:hAnsi="Times New Roman"/>
          <w:i/>
          <w:iCs/>
          <w:sz w:val="20"/>
          <w:szCs w:val="20"/>
        </w:rPr>
        <w:t xml:space="preserve"> What the Numbers Say</w:t>
      </w:r>
    </w:p>
    <w:p>
      <w:pPr>
        <w:spacing w:after="60" w:line="240" w:lineRule="auto"/>
        <w:ind w:start="360"/>
        <w:jc w:val="both"/>
      </w:pPr>
      <w:r>
        <w:rPr>
          <w:rFonts w:ascii="Times New Roman" w:cs="Times New Roman" w:eastAsia="Times New Roman" w:hAnsi="Times New Roman"/>
          <w:sz w:val="20"/>
          <w:szCs w:val="20"/>
        </w:rPr>
        <w:t xml:space="preserve">Proposal A never produces a statistically significant degradation relative to B. Not in one configuration, not in one dataset. It produces statistically significant improvement in 70 of 94 configurations (74%). That directional consistency matters more than any individual delta magnitude.</w:t>
      </w:r>
    </w:p>
    <w:p>
      <w:pPr>
        <w:spacing w:after="60" w:line="240" w:lineRule="auto"/>
        <w:ind w:start="360"/>
        <w:jc w:val="both"/>
      </w:pPr>
      <w:r>
        <w:rPr>
          <w:rFonts w:ascii="Times New Roman" w:cs="Times New Roman" w:eastAsia="Times New Roman" w:hAnsi="Times New Roman"/>
          <w:sz w:val="20"/>
          <w:szCs w:val="20"/>
        </w:rPr>
        <w:t xml:space="preserve">From an operational standpoint, a federated model that reliably improves without ever reliably harming is deployable. The question auditors and CISOs actually ask is not how large the gain is; it is whether the new mechanism introduces risk. In all three environments tested, it does not.</w:t>
      </w:r>
    </w:p>
    <w:p>
      <w:pPr>
        <w:spacing w:after="40" w:before="120" w:line="240" w:lineRule="auto"/>
      </w:pPr>
      <w:r>
        <w:rPr>
          <w:rFonts w:ascii="Times New Roman" w:cs="Times New Roman" w:eastAsia="Times New Roman" w:hAnsi="Times New Roman"/>
          <w:b/>
          <w:bCs/>
          <w:i/>
          <w:iCs/>
          <w:sz w:val="20"/>
          <w:szCs w:val="20"/>
        </w:rPr>
        <w:t xml:space="preserve">B.</w:t>
      </w:r>
      <w:r>
        <w:rPr>
          <w:rFonts w:ascii="Times New Roman" w:cs="Times New Roman" w:eastAsia="Times New Roman" w:hAnsi="Times New Roman"/>
          <w:i/>
          <w:iCs/>
          <w:sz w:val="20"/>
          <w:szCs w:val="20"/>
        </w:rPr>
        <w:t xml:space="preserve"> The Scaling Fix Was the Key</w:t>
      </w:r>
    </w:p>
    <w:p>
      <w:pPr>
        <w:spacing w:after="60" w:line="240" w:lineRule="auto"/>
        <w:ind w:start="360"/>
        <w:jc w:val="both"/>
      </w:pPr>
      <w:r>
        <w:rPr>
          <w:rFonts w:ascii="Times New Roman" w:cs="Times New Roman" w:eastAsia="Times New Roman" w:hAnsi="Times New Roman"/>
          <w:sz w:val="20"/>
          <w:szCs w:val="20"/>
        </w:rPr>
        <w:t xml:space="preserve">Earlier versions of this program produced near-zero weight differences between proposals. The root cause was a scale mismatch inside the Nelder-Mead objective: ANLL values reached the millions while the ICC regularization term operated between 0 and 0.5. The optimizer was minimizing prediction loss with no effective governance signal. Applying log-softmax normalization to the ANLL before computing the objective brought both terms to the same numerical order, and the ICC prior became visible to the optimizer. The alignment pattern in Fig. 10 is a direct consequence of that correction.</w:t>
      </w:r>
    </w:p>
    <w:p>
      <w:pPr>
        <w:spacing w:after="40" w:before="120" w:line="240" w:lineRule="auto"/>
      </w:pPr>
      <w:r>
        <w:rPr>
          <w:rFonts w:ascii="Times New Roman" w:cs="Times New Roman" w:eastAsia="Times New Roman" w:hAnsi="Times New Roman"/>
          <w:b/>
          <w:bCs/>
          <w:i/>
          <w:iCs/>
          <w:sz w:val="20"/>
          <w:szCs w:val="20"/>
        </w:rPr>
        <w:t xml:space="preserve">C.</w:t>
      </w:r>
      <w:r>
        <w:rPr>
          <w:rFonts w:ascii="Times New Roman" w:cs="Times New Roman" w:eastAsia="Times New Roman" w:hAnsi="Times New Roman"/>
          <w:i/>
          <w:iCs/>
          <w:sz w:val="20"/>
          <w:szCs w:val="20"/>
        </w:rPr>
        <w:t xml:space="preserve"> UNSW-NB15: A Structural Limitation</w:t>
      </w:r>
    </w:p>
    <w:p>
      <w:pPr>
        <w:spacing w:after="60" w:line="240" w:lineRule="auto"/>
        <w:ind w:start="360"/>
        <w:jc w:val="both"/>
      </w:pPr>
      <w:r>
        <w:rPr>
          <w:rFonts w:ascii="Times New Roman" w:cs="Times New Roman" w:eastAsia="Times New Roman" w:hAnsi="Times New Roman"/>
          <w:sz w:val="20"/>
          <w:szCs w:val="20"/>
        </w:rPr>
        <w:t xml:space="preserve">The low significance on UNSW-NB15 (1/7 levels) is not a failure of the ICC mechanism. It is a structural property of federated Naive Bayes with rare multiclass categories. When Dirichlet partitioning removes all Worms samples from a node's training set, GaussianNB cannot estimate mean and variance for that class in that node. The MoG server then combines two reliable distributions with one degenerate one. The ICC prior cannot fix a density estimation problem caused by absent data.</w:t>
      </w:r>
    </w:p>
    <w:p>
      <w:pPr>
        <w:spacing w:after="60" w:line="240" w:lineRule="auto"/>
        <w:ind w:start="360"/>
        <w:jc w:val="both"/>
      </w:pPr>
      <w:r>
        <w:rPr>
          <w:rFonts w:ascii="Times New Roman" w:cs="Times New Roman" w:eastAsia="Times New Roman" w:hAnsi="Times New Roman"/>
          <w:sz w:val="20"/>
          <w:szCs w:val="20"/>
        </w:rPr>
        <w:t xml:space="preserve">This is a known limitation of federated generative models under severe Non-IID conditions, and it sets a clear direction for future work.</w:t>
      </w:r>
    </w:p>
    <w:p>
      <w:pPr>
        <w:spacing w:after="40" w:before="120" w:line="240" w:lineRule="auto"/>
      </w:pPr>
      <w:r>
        <w:rPr>
          <w:rFonts w:ascii="Times New Roman" w:cs="Times New Roman" w:eastAsia="Times New Roman" w:hAnsi="Times New Roman"/>
          <w:b/>
          <w:bCs/>
          <w:i/>
          <w:iCs/>
          <w:sz w:val="20"/>
          <w:szCs w:val="20"/>
        </w:rPr>
        <w:t xml:space="preserve">D.</w:t>
      </w:r>
      <w:r>
        <w:rPr>
          <w:rFonts w:ascii="Times New Roman" w:cs="Times New Roman" w:eastAsia="Times New Roman" w:hAnsi="Times New Roman"/>
          <w:i/>
          <w:iCs/>
          <w:sz w:val="20"/>
          <w:szCs w:val="20"/>
        </w:rPr>
        <w:t xml:space="preserve"> Why Three Datasets Matter</w:t>
      </w:r>
    </w:p>
    <w:p>
      <w:pPr>
        <w:spacing w:after="80"/>
        <w:ind w:start="360"/>
        <w:jc w:val="both"/>
      </w:pPr>
      <w:r>
        <w:rPr>
          <w:rFonts w:ascii="Times New Roman" w:cs="Times New Roman" w:eastAsia="Times New Roman" w:hAnsi="Times New Roman"/>
          <w:sz w:val="20"/>
          <w:szCs w:val="20"/>
        </w:rPr>
        <w:t xml:space="preserve">Anyone who has deployed intrusion detection in production knows that a result on one dataset proves almost nothing. Network traffic from a university testbed in 2009 looks nothing like traffic from a Canadian cybersecurity institute in 2017, and nothing like traffic from a military cyber range in Australia in 2015. Different attack families, different equipment, different labeling conventions. The fact that the same governance prior, the same optimizer, and the same parameters produce the same directional result in all three environments is the argument that the ICC mechanism captures something real.</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VII. CONCLUSIONS</w:t>
      </w:r>
    </w:p>
    <w:p>
      <w:pPr>
        <w:spacing w:after="60" w:line="240" w:lineRule="auto"/>
        <w:ind w:start="360"/>
        <w:jc w:val="both"/>
      </w:pPr>
      <w:r>
        <w:rPr>
          <w:rFonts w:ascii="Times New Roman" w:cs="Times New Roman" w:eastAsia="Times New Roman" w:hAnsi="Times New Roman"/>
          <w:sz w:val="20"/>
          <w:szCs w:val="20"/>
        </w:rPr>
        <w:t xml:space="preserve">Federated weight learning regularized by CRISC governance indicators outperforms size-proportional federated averaging in all three network environments evaluated. The combined F1-macro improvement is +0.0272 with statistical significance in 74% of the 94 configurations tested.</w:t>
      </w:r>
    </w:p>
    <w:p>
      <w:pPr>
        <w:spacing w:after="60" w:line="240" w:lineRule="auto"/>
        <w:ind w:start="360"/>
        <w:jc w:val="both"/>
      </w:pPr>
      <w:r>
        <w:rPr>
          <w:rFonts w:ascii="Times New Roman" w:cs="Times New Roman" w:eastAsia="Times New Roman" w:hAnsi="Times New Roman"/>
          <w:sz w:val="20"/>
          <w:szCs w:val="20"/>
        </w:rPr>
        <w:t xml:space="preserve">The central finding is the ICC Alignment pattern. Without any explicit ordering constraint, the optimizer assigns higher weight to the node with the highest governance maturity and lower weight to the node with the lowest. In all three datasets. Across data collected between 2009 and 2017 by different research groups on different continents.</w:t>
      </w:r>
    </w:p>
    <w:p>
      <w:pPr>
        <w:spacing w:after="60" w:line="240" w:lineRule="auto"/>
        <w:ind w:start="360"/>
        <w:jc w:val="both"/>
      </w:pPr>
      <w:r>
        <w:rPr>
          <w:rFonts w:ascii="Times New Roman" w:cs="Times New Roman" w:eastAsia="Times New Roman" w:hAnsi="Times New Roman"/>
          <w:sz w:val="20"/>
          <w:szCs w:val="20"/>
        </w:rPr>
        <w:t xml:space="preserve">Two technical decisions made this possible. First, the hybrid local classifier separates nominal and numerical features, eliminating the distance bias that comes from encoding protocol names as integers. Second, log-softmax normalization of the ANLL inside the optimizer objective brings the prediction loss and the ICC regularization term to the same numerical scale. Without that normalization, the governance prior is invisible. With it, CRISC information reaches the optimization trajectory.</w:t>
      </w:r>
    </w:p>
    <w:p>
      <w:pPr>
        <w:spacing w:after="80"/>
        <w:ind w:start="360"/>
        <w:jc w:val="both"/>
      </w:pPr>
      <w:r>
        <w:rPr>
          <w:rFonts w:ascii="Times New Roman" w:cs="Times New Roman" w:eastAsia="Times New Roman" w:hAnsi="Times New Roman"/>
          <w:sz w:val="20"/>
          <w:szCs w:val="20"/>
        </w:rPr>
        <w:t xml:space="preserve">Future work will address three open points: constrained simplex projection for strict weight floor enforcement, adaptive regularization strength that responds to observed heterogeneity at each alpha level, and extension to federations with more than three nodes.</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ACKNOWLEDGMENT</w:t>
      </w:r>
    </w:p>
    <w:p>
      <w:pPr>
        <w:spacing w:after="80"/>
        <w:ind w:start="360"/>
        <w:jc w:val="both"/>
      </w:pPr>
      <w:r>
        <w:rPr>
          <w:rFonts w:ascii="Times New Roman" w:cs="Times New Roman" w:eastAsia="Times New Roman" w:hAnsi="Times New Roman"/>
          <w:sz w:val="20"/>
          <w:szCs w:val="20"/>
        </w:rPr>
        <w:t xml:space="preserve">The author thanks Prof. Ezequiel Lopez Rubio and Prof. Juan Miguel Ortiz de Lazcano, Department of Languages and Computer Science, University of Malaga, for their methodological direction throughout this research. The hybrid CategoricalNB plus GaussianNB architecture, the OOD slot correction [April 24, 2026], the real MoG server requirement [April 16, 2026], the seven-level heterogeneity gradient [April 20, 2026], and the McNemar and ANLL metrics were each introduced or validated through their specific recommendations during the period March to May 2026.</w:t>
      </w:r>
    </w:p>
    <w:p>
      <w:pPr>
        <w:pBdr>
          <w:bottom w:val="single" w:color="AAAAAA" w:sz="3" w:space="4"/>
        </w:pBdr>
        <w:spacing w:after="80" w:before="180" w:line="240" w:lineRule="auto"/>
        <w:jc w:val="center"/>
      </w:pPr>
      <w:r>
        <w:rPr>
          <w:rFonts w:ascii="Times New Roman" w:cs="Times New Roman" w:eastAsia="Times New Roman" w:hAnsi="Times New Roman"/>
          <w:b/>
          <w:bCs/>
          <w:sz w:val="20"/>
          <w:szCs w:val="20"/>
        </w:rPr>
        <w:t xml:space="preserve">REFERENCES</w:t>
      </w:r>
    </w:p>
    <w:p>
      <w:pPr>
        <w:spacing w:after="40"/>
        <w:jc w:val="both"/>
      </w:pPr>
      <w:r>
        <w:rPr>
          <w:rFonts w:ascii="Times New Roman" w:cs="Times New Roman" w:eastAsia="Times New Roman" w:hAnsi="Times New Roman"/>
          <w:sz w:val="18"/>
          <w:szCs w:val="18"/>
        </w:rPr>
        <w:t xml:space="preserve">[1] H. B. McMahan et al., "Communication-efficient learning of deep networks from decentralized data," AISTATS 2017. arXiv:1602.05629</w:t>
      </w:r>
    </w:p>
    <w:p>
      <w:pPr>
        <w:spacing w:after="40"/>
        <w:jc w:val="both"/>
      </w:pPr>
      <w:r>
        <w:rPr>
          <w:rFonts w:ascii="Times New Roman" w:cs="Times New Roman" w:eastAsia="Times New Roman" w:hAnsi="Times New Roman"/>
          <w:sz w:val="18"/>
          <w:szCs w:val="18"/>
        </w:rPr>
        <w:t xml:space="preserve">[2] ISACA, CRISC Review Manual, 8th ed. ISACA, 2025.</w:t>
      </w:r>
    </w:p>
    <w:p>
      <w:pPr>
        <w:spacing w:after="40"/>
        <w:jc w:val="both"/>
      </w:pPr>
      <w:r>
        <w:rPr>
          <w:rFonts w:ascii="Times New Roman" w:cs="Times New Roman" w:eastAsia="Times New Roman" w:hAnsi="Times New Roman"/>
          <w:sz w:val="18"/>
          <w:szCs w:val="18"/>
        </w:rPr>
        <w:t xml:space="preserve">[3] N. Moustafa and J. Slay, "UNSW-NB15: a comprehensive data set for network intrusion detection systems," IEEE MilCIS, 2015. DOI: 10.1109/MilCIS.2015.7348942</w:t>
      </w:r>
    </w:p>
    <w:p>
      <w:pPr>
        <w:spacing w:after="40"/>
        <w:jc w:val="both"/>
      </w:pPr>
      <w:r>
        <w:rPr>
          <w:rFonts w:ascii="Times New Roman" w:cs="Times New Roman" w:eastAsia="Times New Roman" w:hAnsi="Times New Roman"/>
          <w:sz w:val="18"/>
          <w:szCs w:val="18"/>
        </w:rPr>
        <w:t xml:space="preserve">[4] N. Moustafa and J. Slay, "The evaluation of Network Anomaly Detection Systems," Information Security Journal, 2016. DOI: 10.1080/19393555.2015.1125974</w:t>
      </w:r>
    </w:p>
    <w:p>
      <w:pPr>
        <w:spacing w:after="40"/>
        <w:jc w:val="both"/>
      </w:pPr>
      <w:r>
        <w:rPr>
          <w:rFonts w:ascii="Times New Roman" w:cs="Times New Roman" w:eastAsia="Times New Roman" w:hAnsi="Times New Roman"/>
          <w:sz w:val="18"/>
          <w:szCs w:val="18"/>
        </w:rPr>
        <w:t xml:space="preserve">[5] I. Sharafaldin et al., "Toward generating a new intrusion detection dataset," ICISSP 2018. DOI: 10.5220/0006639801080116</w:t>
      </w:r>
    </w:p>
    <w:p>
      <w:pPr>
        <w:spacing w:after="40"/>
        <w:jc w:val="both"/>
      </w:pPr>
      <w:r>
        <w:rPr>
          <w:rFonts w:ascii="Times New Roman" w:cs="Times New Roman" w:eastAsia="Times New Roman" w:hAnsi="Times New Roman"/>
          <w:sz w:val="18"/>
          <w:szCs w:val="18"/>
        </w:rPr>
        <w:t xml:space="preserve">[6] M. Tavallaee et al., "A detailed analysis of the KDD CUP 99 data set," IEEE CISDA, 2009. DOI: 10.1109/CISDA.2009.5137363</w:t>
      </w:r>
    </w:p>
    <w:p>
      <w:pPr>
        <w:spacing w:after="40"/>
        <w:jc w:val="both"/>
      </w:pPr>
      <w:r>
        <w:rPr>
          <w:rFonts w:ascii="Times New Roman" w:cs="Times New Roman" w:eastAsia="Times New Roman" w:hAnsi="Times New Roman"/>
          <w:sz w:val="18"/>
          <w:szCs w:val="18"/>
        </w:rPr>
        <w:t xml:space="preserve">[7] T. Wisanwanichthan and M. Thammawichai, "Double-layered hybrid NID using Naive Bayes and SVM," IEEE Access, vol. 9, 2021. DOI: 10.1109/ACCESS.2021.3118573</w:t>
      </w:r>
    </w:p>
    <w:p>
      <w:pPr>
        <w:spacing w:after="40"/>
        <w:jc w:val="both"/>
      </w:pPr>
      <w:r>
        <w:rPr>
          <w:rFonts w:ascii="Times New Roman" w:cs="Times New Roman" w:eastAsia="Times New Roman" w:hAnsi="Times New Roman"/>
          <w:sz w:val="18"/>
          <w:szCs w:val="18"/>
        </w:rPr>
        <w:t xml:space="preserve">[8] A. Lara-Gutierrez et al., "Framework for Drift Detection in AI-driven Anomaly Detection," Int. J. Inf. Security, vol. 24, 2025. DOI: 10.1007/s10207-025-01118-9</w:t>
      </w:r>
    </w:p>
    <w:p>
      <w:pPr>
        <w:spacing w:after="40"/>
        <w:jc w:val="both"/>
      </w:pPr>
      <w:r>
        <w:rPr>
          <w:rFonts w:ascii="Times New Roman" w:cs="Times New Roman" w:eastAsia="Times New Roman" w:hAnsi="Times New Roman"/>
          <w:sz w:val="18"/>
          <w:szCs w:val="18"/>
        </w:rPr>
        <w:t xml:space="preserve">[9] K. A. ElDahshan et al., "Meta-heuristic optimization hierarchical IDS," Computers, vol. 11, 2022. DOI: 10.3390/computers11120170</w:t>
      </w:r>
    </w:p>
    <w:sectPr>
      <w:footerReference w:type="default" r:id="rId10"/>
      <w:type w:val="continuous"/>
      <w:pgSz w:w="12240" w:h="15840" w:orient="portrait"/>
      <w:pgMar w:top="1080" w:right="1080" w:bottom="1440" w:left="1080" w:header="708" w:footer="708" w:gutter="0"/>
      <w:pgNumType/>
      <w:cols w:space="504"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18"/>
        <w:szCs w:val="18"/>
      </w:rPr>
      <w:t xml:space="preserve">EJD-UMA-FedNB-GRC  |  Preprint v1.0  |  2026-05-10  |  Universidad de Malaga  |  p.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18"/>
        <w:szCs w:val="18"/>
      </w:rPr>
      <w:t xml:space="preserve">EJD-UMA-FedNB-GRC  |  Preprint v1.0  |  2026-05-10  |  Universidad de Malaga  |  p.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18"/>
        <w:szCs w:val="18"/>
      </w:rPr>
      <w:t xml:space="preserve">EJD-UMA-FedNB-GRC  |  Preprint v1.0  |  2026-05-10  |  Universidad de Malaga  |  p.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18"/>
        <w:szCs w:val="18"/>
      </w:rPr>
      <w:t xml:space="preserve">EJD-UMA-FedNB-GRC  |  Preprint v1.0  |  2026-05-10  |  Universidad de Malaga  |  p.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180"/>
      <w:outlineLvl w:val="0"/>
    </w:pPr>
    <w:rPr>
      <w:rFonts w:ascii="Times New Roman" w:cs="Times New Roman" w:eastAsia="Times New Roman" w:hAnsi="Times New Roman"/>
      <w:b/>
      <w:bCs/>
      <w:cap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12c15fad1f3735013c42aba5a88973a1e0d3fc7.png"/><Relationship Id="rId12" Type="http://schemas.openxmlformats.org/officeDocument/2006/relationships/image" Target="media/a7cbe8d47b41cdf18a885293f0714b1393f3ef2d.png"/><Relationship Id="rId13" Type="http://schemas.openxmlformats.org/officeDocument/2006/relationships/image" Target="media/4c0bc921a851d18710cda250850af3a1c91b4a47.png"/><Relationship Id="rId14" Type="http://schemas.openxmlformats.org/officeDocument/2006/relationships/image" Target="media/89937e224124949a06c3741a28062a33bccb3f53.png"/><Relationship Id="rId15" Type="http://schemas.openxmlformats.org/officeDocument/2006/relationships/image" Target="media/36e0db9b54bef981f04024a06af99e607a6cb599.png"/><Relationship Id="rId16" Type="http://schemas.openxmlformats.org/officeDocument/2006/relationships/image" Target="media/fd9843b2b2f46f518b9229480d220e4c8294226a.png"/><Relationship Id="rId17" Type="http://schemas.openxmlformats.org/officeDocument/2006/relationships/image" Target="media/3f3d9b79794881aba4fa710a7587f65ae4de302d.png"/><Relationship Id="rId18" Type="http://schemas.openxmlformats.org/officeDocument/2006/relationships/image" Target="media/139412c83dd444123934b13969ffe6e5364db910.png"/><Relationship Id="rId19" Type="http://schemas.openxmlformats.org/officeDocument/2006/relationships/image" Target="media/d011c18c6590e9c162a16b22fd12900ecc57a9ff.png"/><Relationship Id="rId20" Type="http://schemas.openxmlformats.org/officeDocument/2006/relationships/image" Target="media/2f382ba2d23117b622578a0805275c187a176247.png"/><Relationship Id="rId21" Type="http://schemas.openxmlformats.org/officeDocument/2006/relationships/image" Target="media/0fe51f58ca06ad8d36cf679879a12331146e9cb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2026-05-12T01:40:42.068Z</dcterms:created>
  <dcterms:modified xsi:type="dcterms:W3CDTF">2026-05-12T01:40:42.069Z</dcterms:modified>
</cp:coreProperties>
</file>

<file path=docProps/custom.xml><?xml version="1.0" encoding="utf-8"?>
<Properties xmlns="http://schemas.openxmlformats.org/officeDocument/2006/custom-properties" xmlns:vt="http://schemas.openxmlformats.org/officeDocument/2006/docPropsVTypes"/>
</file>