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80"/>
        <w:jc w:val="center"/>
      </w:pPr>
      <w:r>
        <w:rPr>
          <w:rFonts w:ascii="Arial" w:cs="Arial" w:eastAsia="Arial" w:hAnsi="Arial"/>
          <w:b/>
          <w:bCs/>
          <w:color w:val="1F4E79"/>
          <w:sz w:val="56"/>
          <w:szCs w:val="56"/>
        </w:rPr>
        <w:t xml:space="preserve">SWINGLEDGE</w:t>
      </w:r>
    </w:p>
    <w:p>
      <w:pPr>
        <w:spacing w:after="60"/>
        <w:jc w:val="center"/>
      </w:pPr>
      <w:r>
        <w:rPr>
          <w:rFonts w:ascii="Arial" w:cs="Arial" w:eastAsia="Arial" w:hAnsi="Arial"/>
          <w:color w:val="2E75B6"/>
          <w:sz w:val="44"/>
          <w:szCs w:val="44"/>
        </w:rPr>
        <w:t xml:space="preserve">Options Calculator</w:t>
      </w:r>
    </w:p>
    <w:p>
      <w:pPr>
        <w:spacing w:after="240"/>
        <w:jc w:val="center"/>
      </w:pPr>
      <w:r>
        <w:rPr>
          <w:rFonts w:ascii="Arial" w:cs="Arial" w:eastAsia="Arial" w:hAnsi="Arial"/>
          <w:color w:val="595959"/>
          <w:sz w:val="28"/>
          <w:szCs w:val="28"/>
        </w:rPr>
        <w:t xml:space="preserve">User Manual &amp; Trading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200"/>
              <w:left w:type="dxa" w:w="400"/>
              <w:bottom w:type="dxa" w:w="200"/>
              <w:right w:type="dxa" w:w="400"/>
            </w:tcMar>
          </w:tcPr>
          <w:p>
            <w:pPr>
              <w:spacing w:after="80"/>
              <w:jc w:val="center"/>
            </w:pPr>
            <w:r>
              <w:rPr>
                <w:rFonts w:ascii="Arial" w:cs="Arial" w:eastAsia="Arial" w:hAnsi="Arial"/>
                <w:i/>
                <w:iCs/>
                <w:color w:val="FFFFFF"/>
                <w:sz w:val="24"/>
                <w:szCs w:val="24"/>
              </w:rPr>
              <w:t xml:space="preserve">For the systematic S&amp;P 500 options trader</w:t>
            </w:r>
          </w:p>
          <w:p>
            <w:pPr>
              <w:spacing w:after="0"/>
              <w:jc w:val="center"/>
            </w:pPr>
            <w:r>
              <w:rPr>
                <w:rFonts w:ascii="Arial" w:cs="Arial" w:eastAsia="Arial" w:hAnsi="Arial"/>
                <w:color w:val="BDD7EE"/>
                <w:sz w:val="22"/>
                <w:szCs w:val="22"/>
              </w:rPr>
              <w:t xml:space="preserve">Long LEAP compounders  •  Short-term bounce puts  •  Catalyst hedge sizing</w:t>
            </w:r>
          </w:p>
        </w:tc>
      </w:tr>
    </w:tbl>
    <w:p>
      <w:pPr>
        <w:spacing w:after="400"/>
      </w:pPr>
    </w:p>
    <w:p>
      <w:pPr>
        <w:jc w:val="center"/>
      </w:pPr>
      <w:r>
        <w:rPr>
          <w:rFonts w:ascii="Arial" w:cs="Arial" w:eastAsia="Arial" w:hAnsi="Arial"/>
          <w:color w:val="595959"/>
          <w:sz w:val="20"/>
          <w:szCs w:val="20"/>
        </w:rPr>
        <w:t xml:space="preserve">Version 1.0  •  2026</w:t>
      </w:r>
    </w:p>
    <w:p>
      <w:r>
        <w:br w:type="page"/>
      </w:r>
    </w:p>
    <w:p>
      <w:pPr>
        <w:pStyle w:val="Heading1"/>
        <w:pBdr>
          <w:bottom w:val="single" w:color="2E75B6" w:sz="8" w:space="4"/>
        </w:pBdr>
        <w:spacing w:before="360" w:after="120"/>
      </w:pPr>
      <w:r>
        <w:rPr>
          <w:rFonts w:ascii="Arial" w:cs="Arial" w:eastAsia="Arial" w:hAnsi="Arial"/>
          <w:b/>
          <w:bCs/>
          <w:color w:val="1F4E79"/>
          <w:sz w:val="32"/>
          <w:szCs w:val="32"/>
        </w:rPr>
        <w:t xml:space="preserve">1. What is the SwingEdge Options Calculator?</w:t>
      </w:r>
    </w:p>
    <w:p>
      <w:pPr>
        <w:spacing w:after="100"/>
      </w:pPr>
      <w:r>
        <w:rPr>
          <w:rFonts w:ascii="Arial" w:cs="Arial" w:eastAsia="Arial" w:hAnsi="Arial"/>
          <w:color w:val="333333"/>
          <w:sz w:val="22"/>
          <w:szCs w:val="22"/>
        </w:rPr>
        <w:t xml:space="preserve">The SwingEdge Options Calculator is a self-hosted desktop tool that gives you real-time options pricing, Greeks, P&amp;L heatmaps, and catalyst hedge sizing — all without relying on external websites or subscriptions.</w:t>
      </w:r>
    </w:p>
    <w:p>
      <w:pPr>
        <w:spacing w:after="80"/>
      </w:pPr>
    </w:p>
    <w:p>
      <w:pPr>
        <w:spacing w:after="100"/>
      </w:pPr>
      <w:r>
        <w:rPr>
          <w:rFonts w:ascii="Arial" w:cs="Arial" w:eastAsia="Arial" w:hAnsi="Arial"/>
          <w:color w:val="333333"/>
          <w:sz w:val="22"/>
          <w:szCs w:val="22"/>
        </w:rPr>
        <w:t xml:space="preserve">It solves four specific problems for the active options trader:</w:t>
      </w:r>
    </w:p>
    <w:p>
      <w:pPr>
        <w:spacing w:after="60"/>
      </w:pPr>
    </w:p>
    <w:p>
      <w:pPr>
        <w:pStyle w:val="ListParagraph"/>
        <w:numPr>
          <w:ilvl w:val="0"/>
          <w:numId w:val="2"/>
        </w:numPr>
        <w:spacing w:after="60"/>
      </w:pPr>
      <w:r>
        <w:rPr>
          <w:rFonts w:ascii="Arial" w:cs="Arial" w:eastAsia="Arial" w:hAnsi="Arial"/>
          <w:color w:val="000000"/>
          <w:sz w:val="22"/>
          <w:szCs w:val="22"/>
        </w:rPr>
        <w:t xml:space="preserve">It pulls live stock prices and implied volatility automatically from free market data (Yahoo Finance), so you never have to manually type in IV% from a separate website.</w:t>
      </w:r>
    </w:p>
    <w:p>
      <w:pPr>
        <w:pStyle w:val="ListParagraph"/>
        <w:numPr>
          <w:ilvl w:val="0"/>
          <w:numId w:val="2"/>
        </w:numPr>
        <w:spacing w:after="60"/>
      </w:pPr>
      <w:r>
        <w:rPr>
          <w:rFonts w:ascii="Arial" w:cs="Arial" w:eastAsia="Arial" w:hAnsi="Arial"/>
          <w:color w:val="000000"/>
          <w:sz w:val="22"/>
          <w:szCs w:val="22"/>
        </w:rPr>
        <w:t xml:space="preserve">It shows you — at a glance — how much any option will cost across every strike and expiry combination, using an interactive slider interface.</w:t>
      </w:r>
    </w:p>
    <w:p>
      <w:pPr>
        <w:pStyle w:val="ListParagraph"/>
        <w:numPr>
          <w:ilvl w:val="0"/>
          <w:numId w:val="2"/>
        </w:numPr>
        <w:spacing w:after="60"/>
      </w:pPr>
      <w:r>
        <w:rPr>
          <w:rFonts w:ascii="Arial" w:cs="Arial" w:eastAsia="Arial" w:hAnsi="Arial"/>
          <w:color w:val="000000"/>
          <w:sz w:val="22"/>
          <w:szCs w:val="22"/>
        </w:rPr>
        <w:t xml:space="preserve">It calculates the exact number of short-dated put options needed to hedge your long-dated LEAP positions against a catalyst event (such as earnings).</w:t>
      </w:r>
    </w:p>
    <w:p>
      <w:pPr>
        <w:pStyle w:val="ListParagraph"/>
        <w:numPr>
          <w:ilvl w:val="0"/>
          <w:numId w:val="2"/>
        </w:numPr>
        <w:spacing w:after="60"/>
      </w:pPr>
      <w:r>
        <w:rPr>
          <w:rFonts w:ascii="Arial" w:cs="Arial" w:eastAsia="Arial" w:hAnsi="Arial"/>
          <w:color w:val="000000"/>
          <w:sz w:val="22"/>
          <w:szCs w:val="22"/>
        </w:rPr>
        <w:t xml:space="preserve">It models the dual-profit scenario: the put profits from the drop, and the LEAP survives long enough to recover and profit from the rebound.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6B5A" w:sz="12"/>
              <w:bottom w:val="single" w:color="CCCCCC" w:sz="1"/>
              <w:right w:val="single" w:color="CCCCCC" w:sz="1"/>
            </w:tcBorders>
            <w:shd w:fill="E1F5EE" w:val="clear"/>
            <w:tcMar>
              <w:top w:type="dxa" w:w="120"/>
              <w:left w:type="dxa" w:w="180"/>
              <w:bottom w:type="dxa" w:w="120"/>
              <w:right w:type="dxa" w:w="180"/>
            </w:tcMar>
          </w:tcPr>
          <w:p>
            <w:pPr>
              <w:spacing w:after="40"/>
            </w:pPr>
            <w:r>
              <w:rPr>
                <w:rFonts w:ascii="Arial" w:cs="Arial" w:eastAsia="Arial" w:hAnsi="Arial"/>
                <w:b/>
                <w:bCs/>
                <w:color w:val="1A6B5A"/>
                <w:sz w:val="20"/>
                <w:szCs w:val="20"/>
              </w:rPr>
              <w:t xml:space="preserve">Why this beats optionsprofitcalculator.com</w:t>
            </w:r>
          </w:p>
          <w:p>
            <w:pPr>
              <w:spacing w:after="0"/>
            </w:pPr>
            <w:r>
              <w:rPr>
                <w:rFonts w:ascii="Arial" w:cs="Arial" w:eastAsia="Arial" w:hAnsi="Arial"/>
                <w:color w:val="333333"/>
                <w:sz w:val="20"/>
                <w:szCs w:val="20"/>
              </w:rPr>
              <w:t xml:space="preserve">That site requires you to manually input IV% every time, does not let you scan across strikes with a slider, has no hedge calculator, and does not integrate with your existing SwingEdge workflow. This tool fixes all of that.</w:t>
            </w:r>
          </w:p>
        </w:tc>
      </w:tr>
    </w:tbl>
    <w:p>
      <w:pPr>
        <w:spacing w:after="200"/>
      </w:pPr>
    </w:p>
    <w:p>
      <w:pPr>
        <w:pStyle w:val="Heading1"/>
        <w:pBdr>
          <w:bottom w:val="single" w:color="2E75B6" w:sz="8" w:space="4"/>
        </w:pBdr>
        <w:spacing w:before="360" w:after="120"/>
      </w:pPr>
      <w:r>
        <w:rPr>
          <w:rFonts w:ascii="Arial" w:cs="Arial" w:eastAsia="Arial" w:hAnsi="Arial"/>
          <w:b/>
          <w:bCs/>
          <w:color w:val="1F4E79"/>
          <w:sz w:val="32"/>
          <w:szCs w:val="32"/>
        </w:rPr>
        <w:t xml:space="preserve">2. Installation (one-time setup)</w:t>
      </w:r>
    </w:p>
    <w:p>
      <w:pPr>
        <w:spacing w:after="100"/>
      </w:pPr>
      <w:r>
        <w:rPr>
          <w:rFonts w:ascii="Arial" w:cs="Arial" w:eastAsia="Arial" w:hAnsi="Arial"/>
          <w:color w:val="333333"/>
          <w:sz w:val="22"/>
          <w:szCs w:val="22"/>
        </w:rPr>
        <w:t xml:space="preserve">You only need to do this once. The process takes approximately 5 minutes.</w:t>
      </w:r>
    </w:p>
    <w:p>
      <w:pPr>
        <w:spacing w:after="80"/>
      </w:pPr>
    </w:p>
    <w:p>
      <w:pPr>
        <w:pStyle w:val="Heading2"/>
        <w:spacing w:before="280" w:after="80"/>
      </w:pPr>
      <w:r>
        <w:rPr>
          <w:rFonts w:ascii="Arial" w:cs="Arial" w:eastAsia="Arial" w:hAnsi="Arial"/>
          <w:b/>
          <w:bCs/>
          <w:color w:val="2E75B6"/>
          <w:sz w:val="26"/>
          <w:szCs w:val="26"/>
        </w:rPr>
        <w:t xml:space="preserve">Step 1 — Confirm Python is installed</w:t>
      </w:r>
    </w:p>
    <w:p>
      <w:pPr>
        <w:spacing w:after="100"/>
      </w:pPr>
      <w:r>
        <w:rPr>
          <w:rFonts w:ascii="Arial" w:cs="Arial" w:eastAsia="Arial" w:hAnsi="Arial"/>
          <w:color w:val="333333"/>
          <w:sz w:val="22"/>
          <w:szCs w:val="22"/>
        </w:rPr>
        <w:t xml:space="preserve">Open a Command Prompt (press Windows key, type cmd, press Enter). Type the following and press Enter: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632" w:val="clear"/>
            <w:tcMar>
              <w:top w:type="dxa" w:w="120"/>
              <w:left w:type="dxa" w:w="200"/>
              <w:bottom w:type="dxa" w:w="120"/>
              <w:right w:type="dxa" w:w="200"/>
            </w:tcMar>
          </w:tcPr>
          <w:p>
            <w:pPr>
              <w:spacing w:after="20"/>
            </w:pPr>
            <w:r>
              <w:rPr>
                <w:rFonts w:ascii="Courier New" w:cs="Courier New" w:eastAsia="Courier New" w:hAnsi="Courier New"/>
                <w:color w:val="A8D8A8"/>
                <w:sz w:val="18"/>
                <w:szCs w:val="18"/>
              </w:rPr>
              <w:t xml:space="preserve">python --version</w:t>
            </w:r>
          </w:p>
        </w:tc>
      </w:tr>
    </w:tbl>
    <w:p>
      <w:pPr>
        <w:spacing w:after="60"/>
      </w:pPr>
    </w:p>
    <w:p>
      <w:pPr>
        <w:spacing w:after="100"/>
      </w:pPr>
      <w:r>
        <w:rPr>
          <w:rFonts w:ascii="Arial" w:cs="Arial" w:eastAsia="Arial" w:hAnsi="Arial"/>
          <w:color w:val="333333"/>
          <w:sz w:val="22"/>
          <w:szCs w:val="22"/>
        </w:rPr>
        <w:t xml:space="preserve">You should see something like Python 3.11.x. If you see an error, download Python from python.org and install it. During installation, check the box that says Add Python to PATH.</w:t>
      </w:r>
    </w:p>
    <w:p>
      <w:pPr>
        <w:spacing w:after="120"/>
      </w:pPr>
    </w:p>
    <w:p>
      <w:pPr>
        <w:pStyle w:val="Heading2"/>
        <w:spacing w:before="280" w:after="80"/>
      </w:pPr>
      <w:r>
        <w:rPr>
          <w:rFonts w:ascii="Arial" w:cs="Arial" w:eastAsia="Arial" w:hAnsi="Arial"/>
          <w:b/>
          <w:bCs/>
          <w:color w:val="2E75B6"/>
          <w:sz w:val="26"/>
          <w:szCs w:val="26"/>
        </w:rPr>
        <w:t xml:space="preserve">Step 2 — Place the three files together</w:t>
      </w:r>
    </w:p>
    <w:p>
      <w:pPr>
        <w:spacing w:after="100"/>
      </w:pPr>
      <w:r>
        <w:rPr>
          <w:rFonts w:ascii="Arial" w:cs="Arial" w:eastAsia="Arial" w:hAnsi="Arial"/>
          <w:color w:val="333333"/>
          <w:sz w:val="22"/>
          <w:szCs w:val="22"/>
        </w:rPr>
        <w:t xml:space="preserve">Copy these three files into a single folder on your Windows PC. The recommended location is: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2632" w:val="clear"/>
            <w:tcMar>
              <w:top w:type="dxa" w:w="120"/>
              <w:left w:type="dxa" w:w="200"/>
              <w:bottom w:type="dxa" w:w="120"/>
              <w:right w:type="dxa" w:w="200"/>
            </w:tcMar>
          </w:tcPr>
          <w:p>
            <w:pPr>
              <w:spacing w:after="20"/>
            </w:pPr>
            <w:r>
              <w:rPr>
                <w:rFonts w:ascii="Courier New" w:cs="Courier New" w:eastAsia="Courier New" w:hAnsi="Courier New"/>
                <w:color w:val="A8D8A8"/>
                <w:sz w:val="18"/>
                <w:szCs w:val="18"/>
              </w:rPr>
              <w:t xml:space="preserve">C:\Users\edwin\swing_trader_dashboard\options_calc\</w:t>
            </w:r>
          </w:p>
        </w:tc>
      </w:tr>
    </w:tbl>
    <w:p>
      <w:pPr>
        <w:spacing w:after="60"/>
      </w:pPr>
    </w:p>
    <w:p>
      <w:pPr>
        <w:spacing w:after="100"/>
      </w:pPr>
      <w:r>
        <w:rPr>
          <w:rFonts w:ascii="Arial" w:cs="Arial" w:eastAsia="Arial" w:hAnsi="Arial"/>
          <w:color w:val="333333"/>
          <w:sz w:val="22"/>
          <w:szCs w:val="22"/>
        </w:rPr>
        <w:t xml:space="preserve">The three files are:</w:t>
      </w:r>
    </w:p>
    <w:p>
      <w:pPr>
        <w:pStyle w:val="ListParagraph"/>
        <w:numPr>
          <w:ilvl w:val="0"/>
          <w:numId w:val="2"/>
        </w:numPr>
        <w:spacing w:after="60"/>
      </w:pPr>
      <w:r>
        <w:rPr>
          <w:rFonts w:ascii="Arial" w:cs="Arial" w:eastAsia="Arial" w:hAnsi="Arial"/>
          <w:color w:val="000000"/>
          <w:sz w:val="22"/>
          <w:szCs w:val="22"/>
        </w:rPr>
        <w:t xml:space="preserve">options_calc_server.py   (the data server)</w:t>
      </w:r>
    </w:p>
    <w:p>
      <w:pPr>
        <w:pStyle w:val="ListParagraph"/>
        <w:numPr>
          <w:ilvl w:val="0"/>
          <w:numId w:val="2"/>
        </w:numPr>
        <w:spacing w:after="60"/>
      </w:pPr>
      <w:r>
        <w:rPr>
          <w:rFonts w:ascii="Arial" w:cs="Arial" w:eastAsia="Arial" w:hAnsi="Arial"/>
          <w:color w:val="000000"/>
          <w:sz w:val="22"/>
          <w:szCs w:val="22"/>
        </w:rPr>
        <w:t xml:space="preserve">options_calculator.html  (the calculator interface)</w:t>
      </w:r>
    </w:p>
    <w:p>
      <w:pPr>
        <w:pStyle w:val="ListParagraph"/>
        <w:numPr>
          <w:ilvl w:val="0"/>
          <w:numId w:val="2"/>
        </w:numPr>
        <w:spacing w:after="60"/>
      </w:pPr>
      <w:r>
        <w:rPr>
          <w:rFonts w:ascii="Arial" w:cs="Arial" w:eastAsia="Arial" w:hAnsi="Arial"/>
          <w:color w:val="000000"/>
          <w:sz w:val="22"/>
          <w:szCs w:val="22"/>
        </w:rPr>
        <w:t xml:space="preserve">launch_calculator.bat    (the launcher you double-click to start)</w:t>
      </w:r>
    </w:p>
    <w:p>
      <w:pPr>
        <w:spacing w:after="120"/>
      </w:pPr>
    </w:p>
    <w:p>
      <w:pPr>
        <w:pStyle w:val="Heading2"/>
        <w:spacing w:before="280" w:after="80"/>
      </w:pPr>
      <w:r>
        <w:rPr>
          <w:rFonts w:ascii="Arial" w:cs="Arial" w:eastAsia="Arial" w:hAnsi="Arial"/>
          <w:b/>
          <w:bCs/>
          <w:color w:val="2E75B6"/>
          <w:sz w:val="26"/>
          <w:szCs w:val="26"/>
        </w:rPr>
        <w:t xml:space="preserve">Step 3 — First launch (installs dependencies automatically)</w:t>
      </w:r>
    </w:p>
    <w:p>
      <w:pPr>
        <w:spacing w:after="100"/>
      </w:pPr>
      <w:r>
        <w:rPr>
          <w:rFonts w:ascii="Arial" w:cs="Arial" w:eastAsia="Arial" w:hAnsi="Arial"/>
          <w:color w:val="333333"/>
          <w:sz w:val="22"/>
          <w:szCs w:val="22"/>
        </w:rPr>
        <w:t xml:space="preserve">Double-click launch_calculator.bat. On the very first run, it will:</w:t>
      </w:r>
    </w:p>
    <w:p>
      <w:pPr>
        <w:pStyle w:val="ListParagraph"/>
        <w:numPr>
          <w:ilvl w:val="0"/>
          <w:numId w:val="3"/>
        </w:numPr>
        <w:spacing w:after="80"/>
      </w:pPr>
      <w:r>
        <w:rPr>
          <w:rFonts w:ascii="Arial" w:cs="Arial" w:eastAsia="Arial" w:hAnsi="Arial"/>
          <w:color w:val="000000"/>
          <w:sz w:val="22"/>
          <w:szCs w:val="22"/>
        </w:rPr>
        <w:t xml:space="preserve">Open a Command Prompt window and check for required Python packages</w:t>
      </w:r>
    </w:p>
    <w:p>
      <w:pPr>
        <w:pStyle w:val="ListParagraph"/>
        <w:numPr>
          <w:ilvl w:val="0"/>
          <w:numId w:val="3"/>
        </w:numPr>
        <w:spacing w:after="80"/>
      </w:pPr>
      <w:r>
        <w:rPr>
          <w:rFonts w:ascii="Arial" w:cs="Arial" w:eastAsia="Arial" w:hAnsi="Arial"/>
          <w:color w:val="000000"/>
          <w:sz w:val="22"/>
          <w:szCs w:val="22"/>
        </w:rPr>
        <w:t xml:space="preserve">Automatically install yfinance, fastapi, and uvicorn if they are missing (requires internet connection for this step only)</w:t>
      </w:r>
    </w:p>
    <w:p>
      <w:pPr>
        <w:pStyle w:val="ListParagraph"/>
        <w:numPr>
          <w:ilvl w:val="0"/>
          <w:numId w:val="3"/>
        </w:numPr>
        <w:spacing w:after="80"/>
      </w:pPr>
      <w:r>
        <w:rPr>
          <w:rFonts w:ascii="Arial" w:cs="Arial" w:eastAsia="Arial" w:hAnsi="Arial"/>
          <w:color w:val="000000"/>
          <w:sz w:val="22"/>
          <w:szCs w:val="22"/>
        </w:rPr>
        <w:t xml:space="preserve">Start the local data server on port 8765</w:t>
      </w:r>
    </w:p>
    <w:p>
      <w:pPr>
        <w:pStyle w:val="ListParagraph"/>
        <w:numPr>
          <w:ilvl w:val="0"/>
          <w:numId w:val="3"/>
        </w:numPr>
        <w:spacing w:after="80"/>
      </w:pPr>
      <w:r>
        <w:rPr>
          <w:rFonts w:ascii="Arial" w:cs="Arial" w:eastAsia="Arial" w:hAnsi="Arial"/>
          <w:color w:val="000000"/>
          <w:sz w:val="22"/>
          <w:szCs w:val="22"/>
        </w:rPr>
        <w:t xml:space="preserve">Open the calculator in a clean app window (no browser address bar, looks like a native app)</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6B5A" w:sz="12"/>
              <w:bottom w:val="single" w:color="CCCCCC" w:sz="1"/>
              <w:right w:val="single" w:color="CCCCCC" w:sz="1"/>
            </w:tcBorders>
            <w:shd w:fill="E2EFDA" w:val="clear"/>
            <w:tcMar>
              <w:top w:type="dxa" w:w="120"/>
              <w:left w:type="dxa" w:w="180"/>
              <w:bottom w:type="dxa" w:w="120"/>
              <w:right w:type="dxa" w:w="180"/>
            </w:tcMar>
          </w:tcPr>
          <w:p>
            <w:pPr>
              <w:spacing w:after="40"/>
            </w:pPr>
            <w:r>
              <w:rPr>
                <w:rFonts w:ascii="Arial" w:cs="Arial" w:eastAsia="Arial" w:hAnsi="Arial"/>
                <w:b/>
                <w:bCs/>
                <w:color w:val="1A6B5A"/>
                <w:sz w:val="20"/>
                <w:szCs w:val="20"/>
              </w:rPr>
              <w:t xml:space="preserve">One-time only</w:t>
            </w:r>
          </w:p>
          <w:p>
            <w:pPr>
              <w:spacing w:after="0"/>
            </w:pPr>
            <w:r>
              <w:rPr>
                <w:rFonts w:ascii="Arial" w:cs="Arial" w:eastAsia="Arial" w:hAnsi="Arial"/>
                <w:color w:val="333333"/>
                <w:sz w:val="20"/>
                <w:szCs w:val="20"/>
              </w:rPr>
              <w:t xml:space="preserve">The package installation only happens on the first launch. All future launches start in 2 seconds.</w:t>
            </w:r>
          </w:p>
        </w:tc>
      </w:tr>
    </w:tbl>
    <w:p>
      <w:pPr>
        <w:spacing w:after="120"/>
      </w:pPr>
    </w:p>
    <w:p>
      <w:pPr>
        <w:pStyle w:val="Heading2"/>
        <w:spacing w:before="280" w:after="80"/>
      </w:pPr>
      <w:r>
        <w:rPr>
          <w:rFonts w:ascii="Arial" w:cs="Arial" w:eastAsia="Arial" w:hAnsi="Arial"/>
          <w:b/>
          <w:bCs/>
          <w:color w:val="2E75B6"/>
          <w:sz w:val="26"/>
          <w:szCs w:val="26"/>
        </w:rPr>
        <w:t xml:space="preserve">Step 4 — Create a desktop shortcut (optional but recommended)</w:t>
      </w:r>
    </w:p>
    <w:p>
      <w:pPr>
        <w:spacing w:after="100"/>
      </w:pPr>
      <w:r>
        <w:rPr>
          <w:rFonts w:ascii="Arial" w:cs="Arial" w:eastAsia="Arial" w:hAnsi="Arial"/>
          <w:color w:val="333333"/>
          <w:sz w:val="22"/>
          <w:szCs w:val="22"/>
        </w:rPr>
        <w:t xml:space="preserve">Right-click on launch_calculator.bat and select Send to &gt; Desktop (create shortcut). Rename it SwingEdge Options. You can now open the calculator from your desktop with a single double-click.</w:t>
      </w:r>
    </w:p>
    <w:p>
      <w:pPr>
        <w:spacing w:after="200"/>
      </w:pPr>
    </w:p>
    <w:p>
      <w:r>
        <w:br w:type="page"/>
      </w:r>
    </w:p>
    <w:p>
      <w:pPr>
        <w:pStyle w:val="Heading1"/>
        <w:pBdr>
          <w:bottom w:val="single" w:color="2E75B6" w:sz="8" w:space="4"/>
        </w:pBdr>
        <w:spacing w:before="360" w:after="120"/>
      </w:pPr>
      <w:r>
        <w:rPr>
          <w:rFonts w:ascii="Arial" w:cs="Arial" w:eastAsia="Arial" w:hAnsi="Arial"/>
          <w:b/>
          <w:bCs/>
          <w:color w:val="1F4E79"/>
          <w:sz w:val="32"/>
          <w:szCs w:val="32"/>
        </w:rPr>
        <w:t xml:space="preserve">3. Understanding the interface</w:t>
      </w:r>
    </w:p>
    <w:p>
      <w:pPr>
        <w:spacing w:after="100"/>
      </w:pPr>
      <w:r>
        <w:rPr>
          <w:rFonts w:ascii="Arial" w:cs="Arial" w:eastAsia="Arial" w:hAnsi="Arial"/>
          <w:color w:val="333333"/>
          <w:sz w:val="22"/>
          <w:szCs w:val="22"/>
        </w:rPr>
        <w:t xml:space="preserve">The calculator has three main areas.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Area</w:t>
            </w:r>
          </w:p>
        </w:tc>
        <w:tc>
          <w:tcPr>
            <w:tcW w:type="dxa" w:w="7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What it does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Top bar</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Enter a ticker symbol and click Fetch Live to load the current price and IV automatically from Yahoo Finance.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Left sidebar</w:t>
            </w:r>
          </w:p>
        </w:tc>
        <w:tc>
          <w:tcPr>
            <w:tcW w:type="dxa" w:w="7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Six sliders control all inputs: spot price, strike, days to expiry, IV%, number of contracts, and risk-free rate. All outputs update instantly as you drag.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Main panel</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Switches between the P&amp;L Heatmap view and the Option Chain view. When you select the LEAP + Hedge strategy, a third section appears below.</w:t>
            </w:r>
          </w:p>
        </w:tc>
      </w:tr>
    </w:tbl>
    <w:p>
      <w:pPr>
        <w:spacing w:after="120"/>
      </w:pPr>
    </w:p>
    <w:p>
      <w:pPr>
        <w:pStyle w:val="Heading2"/>
        <w:spacing w:before="280" w:after="80"/>
      </w:pPr>
      <w:r>
        <w:rPr>
          <w:rFonts w:ascii="Arial" w:cs="Arial" w:eastAsia="Arial" w:hAnsi="Arial"/>
          <w:b/>
          <w:bCs/>
          <w:color w:val="2E75B6"/>
          <w:sz w:val="26"/>
          <w:szCs w:val="26"/>
        </w:rPr>
        <w:t xml:space="preserve">The three strategy modes</w:t>
      </w:r>
    </w:p>
    <w:p>
      <w:pPr>
        <w:pStyle w:val="ListParagraph"/>
        <w:numPr>
          <w:ilvl w:val="0"/>
          <w:numId w:val="2"/>
        </w:numPr>
        <w:spacing w:after="60"/>
      </w:pPr>
      <w:r>
        <w:rPr>
          <w:rFonts w:ascii="Arial" w:cs="Arial" w:eastAsia="Arial" w:hAnsi="Arial"/>
          <w:color w:val="000000"/>
          <w:sz w:val="22"/>
          <w:szCs w:val="22"/>
        </w:rPr>
        <w:t xml:space="preserve">Long Call — models the cost, breakeven, and P&amp;L profile of a single long call option. Used for LEAP entries.</w:t>
      </w:r>
    </w:p>
    <w:p>
      <w:pPr>
        <w:pStyle w:val="ListParagraph"/>
        <w:numPr>
          <w:ilvl w:val="0"/>
          <w:numId w:val="2"/>
        </w:numPr>
        <w:spacing w:after="60"/>
      </w:pPr>
      <w:r>
        <w:rPr>
          <w:rFonts w:ascii="Arial" w:cs="Arial" w:eastAsia="Arial" w:hAnsi="Arial"/>
          <w:color w:val="000000"/>
          <w:sz w:val="22"/>
          <w:szCs w:val="22"/>
        </w:rPr>
        <w:t xml:space="preserve">Long Put — identical to Long Call but for put options. Used for standalone bearish or bounce-fade trades.</w:t>
      </w:r>
    </w:p>
    <w:p>
      <w:pPr>
        <w:pStyle w:val="ListParagraph"/>
        <w:numPr>
          <w:ilvl w:val="0"/>
          <w:numId w:val="2"/>
        </w:numPr>
        <w:spacing w:after="60"/>
      </w:pPr>
      <w:r>
        <w:rPr>
          <w:rFonts w:ascii="Arial" w:cs="Arial" w:eastAsia="Arial" w:hAnsi="Arial"/>
          <w:color w:val="000000"/>
          <w:sz w:val="22"/>
          <w:szCs w:val="22"/>
        </w:rPr>
        <w:t xml:space="preserve">LEAP + Hedge — the most powerful mode. Models your LEAP position alongside a short-dated put hedge, sizes the hedge correctly, and shows you the combined P&amp;L under multiple drop scenarios.</w:t>
      </w:r>
    </w:p>
    <w:p>
      <w:pPr>
        <w:spacing w:after="120"/>
      </w:pPr>
    </w:p>
    <w:p>
      <w:pPr>
        <w:pStyle w:val="Heading2"/>
        <w:spacing w:before="280" w:after="80"/>
      </w:pPr>
      <w:r>
        <w:rPr>
          <w:rFonts w:ascii="Arial" w:cs="Arial" w:eastAsia="Arial" w:hAnsi="Arial"/>
          <w:b/>
          <w:bCs/>
          <w:color w:val="2E75B6"/>
          <w:sz w:val="26"/>
          <w:szCs w:val="26"/>
        </w:rPr>
        <w:t xml:space="preserve">The metric cards</w:t>
      </w:r>
    </w:p>
    <w:p>
      <w:pPr>
        <w:spacing w:after="100"/>
      </w:pPr>
      <w:r>
        <w:rPr>
          <w:rFonts w:ascii="Arial" w:cs="Arial" w:eastAsia="Arial" w:hAnsi="Arial"/>
          <w:color w:val="333333"/>
          <w:sz w:val="22"/>
          <w:szCs w:val="22"/>
        </w:rPr>
        <w:t xml:space="preserve">At the top of the main panel, four numbers always stay visible regardless of which view is selected: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Card</w:t>
            </w:r>
          </w:p>
        </w:tc>
        <w:tc>
          <w:tcPr>
            <w:tcW w:type="dxa" w:w="70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What it means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Option Premium</w:t>
            </w:r>
          </w:p>
        </w:tc>
        <w:tc>
          <w:tcPr>
            <w:tcW w:type="dxa" w:w="70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The theoretical fair-value price per share for this option (multiply by 100 for the actual dollar cost of one contract).</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Breakeven</w:t>
            </w:r>
          </w:p>
        </w:tc>
        <w:tc>
          <w:tcPr>
            <w:tcW w:type="dxa" w:w="70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The stock price at expiry where you neither make nor lose money. For a call: Strike + Premium. For a put: Strike - Premium.</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Max Loss (total)</w:t>
            </w:r>
          </w:p>
        </w:tc>
        <w:tc>
          <w:tcPr>
            <w:tcW w:type="dxa" w:w="70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The maximum you can lose on this position. For long options, this is always the total premium paid (never more).</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Delta</w:t>
            </w:r>
          </w:p>
        </w:tc>
        <w:tc>
          <w:tcPr>
            <w:tcW w:type="dxa" w:w="70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How much the option moves in dollars for every $1 move in the stock. Delta 0.50 means the option gains $50 when the stock rises $1 (for one contract).</w:t>
            </w:r>
          </w:p>
        </w:tc>
      </w:tr>
    </w:tbl>
    <w:p>
      <w:pPr>
        <w:spacing w:after="200"/>
      </w:pPr>
    </w:p>
    <w:p>
      <w:pPr>
        <w:pStyle w:val="Heading1"/>
        <w:pBdr>
          <w:bottom w:val="single" w:color="2E75B6" w:sz="8" w:space="4"/>
        </w:pBdr>
        <w:spacing w:before="360" w:after="120"/>
      </w:pPr>
      <w:r>
        <w:rPr>
          <w:rFonts w:ascii="Arial" w:cs="Arial" w:eastAsia="Arial" w:hAnsi="Arial"/>
          <w:b/>
          <w:bCs/>
          <w:color w:val="1F4E79"/>
          <w:sz w:val="32"/>
          <w:szCs w:val="32"/>
        </w:rPr>
        <w:t xml:space="preserve">4. Using the sliders</w:t>
      </w:r>
    </w:p>
    <w:p>
      <w:pPr>
        <w:spacing w:after="100"/>
      </w:pPr>
      <w:r>
        <w:rPr>
          <w:rFonts w:ascii="Arial" w:cs="Arial" w:eastAsia="Arial" w:hAnsi="Arial"/>
          <w:color w:val="333333"/>
          <w:sz w:val="22"/>
          <w:szCs w:val="22"/>
        </w:rPr>
        <w:t xml:space="preserve">Every input in the calculator is controlled by a slider. Dragging any slider immediately updates every number, table, and scenario on screen. You never need to press a calculate button.</w:t>
      </w:r>
    </w:p>
    <w:p>
      <w:pPr>
        <w:spacing w:after="80"/>
      </w:pPr>
    </w:p>
    <w:p>
      <w:pPr>
        <w:pStyle w:val="Heading3"/>
        <w:spacing w:before="200" w:after="60"/>
      </w:pPr>
      <w:r>
        <w:rPr>
          <w:rFonts w:ascii="Arial" w:cs="Arial" w:eastAsia="Arial" w:hAnsi="Arial"/>
          <w:b/>
          <w:bCs/>
          <w:color w:val="1A6B5A"/>
          <w:sz w:val="22"/>
          <w:szCs w:val="22"/>
        </w:rPr>
        <w:t xml:space="preserve">Spot price</w:t>
      </w:r>
    </w:p>
    <w:p>
      <w:pPr>
        <w:spacing w:after="100"/>
      </w:pPr>
      <w:r>
        <w:rPr>
          <w:rFonts w:ascii="Arial" w:cs="Arial" w:eastAsia="Arial" w:hAnsi="Arial"/>
          <w:color w:val="333333"/>
          <w:sz w:val="22"/>
          <w:szCs w:val="22"/>
        </w:rPr>
        <w:t xml:space="preserve">This is the current market price of the underlying stock. When you click Fetch Live, this is automatically filled. If you want to model what would happen if the stock were at a different price, simply drag this slider.</w:t>
      </w:r>
    </w:p>
    <w:p>
      <w:pPr>
        <w:spacing w:after="80"/>
      </w:pPr>
    </w:p>
    <w:p>
      <w:pPr>
        <w:pStyle w:val="Heading3"/>
        <w:spacing w:before="200" w:after="60"/>
      </w:pPr>
      <w:r>
        <w:rPr>
          <w:rFonts w:ascii="Arial" w:cs="Arial" w:eastAsia="Arial" w:hAnsi="Arial"/>
          <w:b/>
          <w:bCs/>
          <w:color w:val="1A6B5A"/>
          <w:sz w:val="22"/>
          <w:szCs w:val="22"/>
        </w:rPr>
        <w:t xml:space="preserve">Strike price</w:t>
      </w:r>
    </w:p>
    <w:p>
      <w:pPr>
        <w:spacing w:after="100"/>
      </w:pPr>
      <w:r>
        <w:rPr>
          <w:rFonts w:ascii="Arial" w:cs="Arial" w:eastAsia="Arial" w:hAnsi="Arial"/>
          <w:color w:val="333333"/>
          <w:sz w:val="22"/>
          <w:szCs w:val="22"/>
        </w:rPr>
        <w:t xml:space="preserve">This is the price at which your option gives you the right to buy (call) or sell (put) the stock. The slider bounds automatically adjust to stay within a reasonable range of the spot price.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6B5A" w:sz="12"/>
              <w:bottom w:val="single" w:color="CCCCCC" w:sz="1"/>
              <w:right w:val="single" w:color="CCCCCC" w:sz="1"/>
            </w:tcBorders>
            <w:shd w:fill="E1F5EE" w:val="clear"/>
            <w:tcMar>
              <w:top w:type="dxa" w:w="120"/>
              <w:left w:type="dxa" w:w="180"/>
              <w:bottom w:type="dxa" w:w="120"/>
              <w:right w:type="dxa" w:w="180"/>
            </w:tcMar>
          </w:tcPr>
          <w:p>
            <w:pPr>
              <w:spacing w:after="40"/>
            </w:pPr>
            <w:r>
              <w:rPr>
                <w:rFonts w:ascii="Arial" w:cs="Arial" w:eastAsia="Arial" w:hAnsi="Arial"/>
                <w:b/>
                <w:bCs/>
                <w:color w:val="1A6B5A"/>
                <w:sz w:val="20"/>
                <w:szCs w:val="20"/>
              </w:rPr>
              <w:t xml:space="preserve">Which strike to use for a LEAP?</w:t>
            </w:r>
          </w:p>
          <w:p>
            <w:pPr>
              <w:spacing w:after="0"/>
            </w:pPr>
            <w:r>
              <w:rPr>
                <w:rFonts w:ascii="Arial" w:cs="Arial" w:eastAsia="Arial" w:hAnsi="Arial"/>
                <w:color w:val="333333"/>
                <w:sz w:val="20"/>
                <w:szCs w:val="20"/>
              </w:rPr>
              <w:t xml:space="preserve">For beaten-down quality stocks (your primary LEAP playbook), consider strikes at or slightly below the current price (ATM to 5% ITM). These give a higher delta (more profit per dollar of stock recovery) while costing more than OTM options. Avoid deep OTM strikes for LEAPs — time decay will kill them before the thesis plays out.</w:t>
            </w:r>
          </w:p>
        </w:tc>
      </w:tr>
    </w:tbl>
    <w:p>
      <w:pPr>
        <w:spacing w:after="80"/>
      </w:pPr>
    </w:p>
    <w:p>
      <w:pPr>
        <w:pStyle w:val="Heading3"/>
        <w:spacing w:before="200" w:after="60"/>
      </w:pPr>
      <w:r>
        <w:rPr>
          <w:rFonts w:ascii="Arial" w:cs="Arial" w:eastAsia="Arial" w:hAnsi="Arial"/>
          <w:b/>
          <w:bCs/>
          <w:color w:val="1A6B5A"/>
          <w:sz w:val="22"/>
          <w:szCs w:val="22"/>
        </w:rPr>
        <w:t xml:space="preserve">Days to expiry (DTE)</w:t>
      </w:r>
    </w:p>
    <w:p>
      <w:pPr>
        <w:spacing w:after="100"/>
      </w:pPr>
      <w:r>
        <w:rPr>
          <w:rFonts w:ascii="Arial" w:cs="Arial" w:eastAsia="Arial" w:hAnsi="Arial"/>
          <w:color w:val="333333"/>
          <w:sz w:val="22"/>
          <w:szCs w:val="22"/>
        </w:rPr>
        <w:t xml:space="preserve">For LEAPs, set this to 180, 240, or 270 days. For short-term bounce puts or catalyst hedges, use 2 to 14 days. Watch how the premium changes dramatically as you drag this slider — this is the effect of time value.</w:t>
      </w:r>
    </w:p>
    <w:p>
      <w:pPr>
        <w:spacing w:after="80"/>
      </w:pPr>
    </w:p>
    <w:p>
      <w:pPr>
        <w:pStyle w:val="Heading3"/>
        <w:spacing w:before="200" w:after="60"/>
      </w:pPr>
      <w:r>
        <w:rPr>
          <w:rFonts w:ascii="Arial" w:cs="Arial" w:eastAsia="Arial" w:hAnsi="Arial"/>
          <w:b/>
          <w:bCs/>
          <w:color w:val="1A6B5A"/>
          <w:sz w:val="22"/>
          <w:szCs w:val="22"/>
        </w:rPr>
        <w:t xml:space="preserve">Implied volatility (IV%)</w:t>
      </w:r>
    </w:p>
    <w:p>
      <w:pPr>
        <w:spacing w:after="100"/>
      </w:pPr>
      <w:r>
        <w:rPr>
          <w:rFonts w:ascii="Arial" w:cs="Arial" w:eastAsia="Arial" w:hAnsi="Arial"/>
          <w:color w:val="333333"/>
          <w:sz w:val="22"/>
          <w:szCs w:val="22"/>
        </w:rPr>
        <w:t xml:space="preserve">This is the single most important input after spot price. IV represents the market's expectation of future price movement, expressed as an annualised percentage. When you click Fetch Live, the calculator automatically pulls the ATM IV from the live options chain — you do not need to look this up separately.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55A11" w:sz="12"/>
              <w:bottom w:val="single" w:color="CCCCCC" w:sz="1"/>
              <w:right w:val="single" w:color="CCCCCC" w:sz="1"/>
            </w:tcBorders>
            <w:shd w:fill="FCE4D6" w:val="clear"/>
            <w:tcMar>
              <w:top w:type="dxa" w:w="120"/>
              <w:left w:type="dxa" w:w="180"/>
              <w:bottom w:type="dxa" w:w="120"/>
              <w:right w:type="dxa" w:w="180"/>
            </w:tcMar>
          </w:tcPr>
          <w:p>
            <w:pPr>
              <w:spacing w:after="40"/>
            </w:pPr>
            <w:r>
              <w:rPr>
                <w:rFonts w:ascii="Arial" w:cs="Arial" w:eastAsia="Arial" w:hAnsi="Arial"/>
                <w:b/>
                <w:bCs/>
                <w:color w:val="C55A11"/>
                <w:sz w:val="20"/>
                <w:szCs w:val="20"/>
              </w:rPr>
              <w:t xml:space="preserve">What IV% to expect</w:t>
            </w:r>
          </w:p>
          <w:p>
            <w:pPr>
              <w:spacing w:after="0"/>
            </w:pPr>
            <w:r>
              <w:rPr>
                <w:rFonts w:ascii="Arial" w:cs="Arial" w:eastAsia="Arial" w:hAnsi="Arial"/>
                <w:color w:val="333333"/>
                <w:sz w:val="20"/>
                <w:szCs w:val="20"/>
              </w:rPr>
              <w:t xml:space="preserve">Most large S&amp;P 500 companies have IV between 20% and 50% in normal conditions. During earnings or market stress, IV can spike to 60-100%+. Buying options when IV is high means paying a premium for volatility — once the event passes, IV collapses and your option loses value even if the stock moves your way. This is called a Vega crush, and the hedge calculator accounts for it.</w:t>
            </w:r>
          </w:p>
        </w:tc>
      </w:tr>
    </w:tbl>
    <w:p>
      <w:pPr>
        <w:spacing w:after="80"/>
      </w:pPr>
    </w:p>
    <w:p>
      <w:pPr>
        <w:pStyle w:val="Heading3"/>
        <w:spacing w:before="200" w:after="60"/>
      </w:pPr>
      <w:r>
        <w:rPr>
          <w:rFonts w:ascii="Arial" w:cs="Arial" w:eastAsia="Arial" w:hAnsi="Arial"/>
          <w:b/>
          <w:bCs/>
          <w:color w:val="1A6B5A"/>
          <w:sz w:val="22"/>
          <w:szCs w:val="22"/>
        </w:rPr>
        <w:t xml:space="preserve">Contracts</w:t>
      </w:r>
    </w:p>
    <w:p>
      <w:pPr>
        <w:spacing w:after="100"/>
      </w:pPr>
      <w:r>
        <w:rPr>
          <w:rFonts w:ascii="Arial" w:cs="Arial" w:eastAsia="Arial" w:hAnsi="Arial"/>
          <w:color w:val="333333"/>
          <w:sz w:val="22"/>
          <w:szCs w:val="22"/>
        </w:rPr>
        <w:t xml:space="preserve">One contract controls 100 shares. Set this to your planned position size. The Max Loss card and all P&amp;L heatmap cells will scale accordingly. Start with 1 contract when learning, then scale up as you gain confidence.</w:t>
      </w:r>
    </w:p>
    <w:p>
      <w:pPr>
        <w:spacing w:after="200"/>
      </w:pPr>
    </w:p>
    <w:p>
      <w:r>
        <w:br w:type="page"/>
      </w:r>
    </w:p>
    <w:p>
      <w:pPr>
        <w:pStyle w:val="Heading1"/>
        <w:pBdr>
          <w:bottom w:val="single" w:color="2E75B6" w:sz="8" w:space="4"/>
        </w:pBdr>
        <w:spacing w:before="360" w:after="120"/>
      </w:pPr>
      <w:r>
        <w:rPr>
          <w:rFonts w:ascii="Arial" w:cs="Arial" w:eastAsia="Arial" w:hAnsi="Arial"/>
          <w:b/>
          <w:bCs/>
          <w:color w:val="1F4E79"/>
          <w:sz w:val="32"/>
          <w:szCs w:val="32"/>
        </w:rPr>
        <w:t xml:space="preserve">5. Reading the P&amp;L heatmap</w:t>
      </w:r>
    </w:p>
    <w:p>
      <w:pPr>
        <w:spacing w:after="100"/>
      </w:pPr>
      <w:r>
        <w:rPr>
          <w:rFonts w:ascii="Arial" w:cs="Arial" w:eastAsia="Arial" w:hAnsi="Arial"/>
          <w:color w:val="333333"/>
          <w:sz w:val="22"/>
          <w:szCs w:val="22"/>
        </w:rPr>
        <w:t xml:space="preserve">The heatmap is the core analytical view. It answers the question: given where the stock ends up and how much time has passed, how much money do I make or lose?</w:t>
      </w:r>
    </w:p>
    <w:p>
      <w:pPr>
        <w:spacing w:after="80"/>
      </w:pPr>
    </w:p>
    <w:p>
      <w:pPr>
        <w:spacing w:after="100"/>
      </w:pPr>
      <w:r>
        <w:rPr>
          <w:rFonts w:ascii="Arial" w:cs="Arial" w:eastAsia="Arial" w:hAnsi="Arial"/>
          <w:color w:val="333333"/>
          <w:sz w:val="22"/>
          <w:szCs w:val="22"/>
        </w:rPr>
        <w:t xml:space="preserve">Rows represent different stock price scenarios, ranging from -50% to +50% from the current spot price. The highlighted row in the middle is the current spot (0% change). Columns represent time elapsed through the option's life, from Now through to Expiry.</w:t>
      </w:r>
    </w:p>
    <w:p>
      <w:pPr>
        <w:spacing w:after="60"/>
      </w:pPr>
    </w:p>
    <w:p>
      <w:pPr>
        <w:spacing w:after="100"/>
      </w:pPr>
      <w:r>
        <w:rPr>
          <w:rFonts w:ascii="Arial" w:cs="Arial" w:eastAsia="Arial" w:hAnsi="Arial"/>
          <w:color w:val="333333"/>
          <w:sz w:val="22"/>
          <w:szCs w:val="22"/>
        </w:rPr>
        <w:t xml:space="preserve">Each cell shows two numbers: the total dollar P&amp;L for your position, and the return on investment (ROI) as a percentage of your premium paid. Red cells are losses; green cells are profits. The darker the colour, the larger the magnitude.</w:t>
      </w:r>
    </w:p>
    <w:p>
      <w:pPr>
        <w:spacing w:after="120"/>
      </w:pPr>
    </w:p>
    <w:p>
      <w:pPr>
        <w:pStyle w:val="Heading2"/>
        <w:spacing w:before="280" w:after="80"/>
      </w:pPr>
      <w:r>
        <w:rPr>
          <w:rFonts w:ascii="Arial" w:cs="Arial" w:eastAsia="Arial" w:hAnsi="Arial"/>
          <w:b/>
          <w:bCs/>
          <w:color w:val="2E75B6"/>
          <w:sz w:val="26"/>
          <w:szCs w:val="26"/>
        </w:rPr>
        <w:t xml:space="preserve">How to interpret the heatmap</w:t>
      </w:r>
    </w:p>
    <w:p>
      <w:pPr>
        <w:pStyle w:val="ListParagraph"/>
        <w:numPr>
          <w:ilvl w:val="0"/>
          <w:numId w:val="2"/>
        </w:numPr>
        <w:spacing w:after="60"/>
      </w:pPr>
      <w:r>
        <w:rPr>
          <w:rFonts w:ascii="Arial" w:cs="Arial" w:eastAsia="Arial" w:hAnsi="Arial"/>
          <w:color w:val="000000"/>
          <w:sz w:val="22"/>
          <w:szCs w:val="22"/>
        </w:rPr>
        <w:t xml:space="preserve">If most of the table is red even for moderate price moves, your strike is too far OTM or your IV is too high — the stock needs to move a lot just to break even.</w:t>
      </w:r>
    </w:p>
    <w:p>
      <w:pPr>
        <w:pStyle w:val="ListParagraph"/>
        <w:numPr>
          <w:ilvl w:val="0"/>
          <w:numId w:val="2"/>
        </w:numPr>
        <w:spacing w:after="60"/>
      </w:pPr>
      <w:r>
        <w:rPr>
          <w:rFonts w:ascii="Arial" w:cs="Arial" w:eastAsia="Arial" w:hAnsi="Arial"/>
          <w:color w:val="000000"/>
          <w:sz w:val="22"/>
          <w:szCs w:val="22"/>
        </w:rPr>
        <w:t xml:space="preserve">If the rightmost column (Expiry) shows profit only at extreme moves, the option is priced for a bigger move than your thesis expects — consider a closer strike or longer DTE.</w:t>
      </w:r>
    </w:p>
    <w:p>
      <w:pPr>
        <w:pStyle w:val="ListParagraph"/>
        <w:numPr>
          <w:ilvl w:val="0"/>
          <w:numId w:val="2"/>
        </w:numPr>
        <w:spacing w:after="60"/>
      </w:pPr>
      <w:r>
        <w:rPr>
          <w:rFonts w:ascii="Arial" w:cs="Arial" w:eastAsia="Arial" w:hAnsi="Arial"/>
          <w:color w:val="000000"/>
          <w:sz w:val="22"/>
          <w:szCs w:val="22"/>
        </w:rPr>
        <w:t xml:space="preserve">For LEAP calls, focus on the 50% to 85% elapsed columns (180 to 230 days into a 270 DTE option). This is your target exit window. The stock does not need to reach your strike for you to profit — rising towards it is enough, because time value decay is slow in the early months.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6B5A" w:sz="12"/>
              <w:bottom w:val="single" w:color="CCCCCC" w:sz="1"/>
              <w:right w:val="single" w:color="CCCCCC" w:sz="1"/>
            </w:tcBorders>
            <w:shd w:fill="E1F5EE" w:val="clear"/>
            <w:tcMar>
              <w:top w:type="dxa" w:w="120"/>
              <w:left w:type="dxa" w:w="180"/>
              <w:bottom w:type="dxa" w:w="120"/>
              <w:right w:type="dxa" w:w="180"/>
            </w:tcMar>
          </w:tcPr>
          <w:p>
            <w:pPr>
              <w:spacing w:after="40"/>
            </w:pPr>
            <w:r>
              <w:rPr>
                <w:rFonts w:ascii="Arial" w:cs="Arial" w:eastAsia="Arial" w:hAnsi="Arial"/>
                <w:b/>
                <w:bCs/>
                <w:color w:val="1A6B5A"/>
                <w:sz w:val="20"/>
                <w:szCs w:val="20"/>
              </w:rPr>
              <w:t xml:space="preserve">Key insight for LEAPs</w:t>
            </w:r>
          </w:p>
          <w:p>
            <w:pPr>
              <w:spacing w:after="0"/>
            </w:pPr>
            <w:r>
              <w:rPr>
                <w:rFonts w:ascii="Arial" w:cs="Arial" w:eastAsia="Arial" w:hAnsi="Arial"/>
                <w:color w:val="333333"/>
                <w:sz w:val="20"/>
                <w:szCs w:val="20"/>
              </w:rPr>
              <w:t xml:space="preserve">A 270 DTE call option on a $150 stock priced at $12 (8% of stock price) only needs the stock to recover to approximately $145 by month 7 for a 50%+ return on the option. You do not need to wait for full thesis completion. The heatmap shows exactly where those exit points are.</w:t>
            </w:r>
          </w:p>
        </w:tc>
      </w:tr>
    </w:tbl>
    <w:p>
      <w:pPr>
        <w:spacing w:after="200"/>
      </w:pPr>
    </w:p>
    <w:p>
      <w:pPr>
        <w:pStyle w:val="Heading1"/>
        <w:pBdr>
          <w:bottom w:val="single" w:color="2E75B6" w:sz="8" w:space="4"/>
        </w:pBdr>
        <w:spacing w:before="360" w:after="120"/>
      </w:pPr>
      <w:r>
        <w:rPr>
          <w:rFonts w:ascii="Arial" w:cs="Arial" w:eastAsia="Arial" w:hAnsi="Arial"/>
          <w:b/>
          <w:bCs/>
          <w:color w:val="1F4E79"/>
          <w:sz w:val="32"/>
          <w:szCs w:val="32"/>
        </w:rPr>
        <w:t xml:space="preserve">6. Reading the option chain</w:t>
      </w:r>
    </w:p>
    <w:p>
      <w:pPr>
        <w:spacing w:after="100"/>
      </w:pPr>
      <w:r>
        <w:rPr>
          <w:rFonts w:ascii="Arial" w:cs="Arial" w:eastAsia="Arial" w:hAnsi="Arial"/>
          <w:color w:val="333333"/>
          <w:sz w:val="22"/>
          <w:szCs w:val="22"/>
        </w:rPr>
        <w:t xml:space="preserve">The Option Chain tab shows a grid of option prices across all strikes (from 30% below spot to 30% above) and all standard expiries (7 days to 360 days). Each cell shows the premium in dollars and the delta.</w:t>
      </w:r>
    </w:p>
    <w:p>
      <w:pPr>
        <w:spacing w:after="80"/>
      </w:pPr>
    </w:p>
    <w:p>
      <w:pPr>
        <w:spacing w:after="100"/>
      </w:pPr>
      <w:r>
        <w:rPr>
          <w:rFonts w:ascii="Arial" w:cs="Arial" w:eastAsia="Arial" w:hAnsi="Arial"/>
          <w:color w:val="333333"/>
          <w:sz w:val="22"/>
          <w:szCs w:val="22"/>
        </w:rPr>
        <w:t xml:space="preserve">Blue-shaded cells are in-the-money (ITM). The dashed yellow row marks the at-the-money (ATM) strike. The solid blue row marks whichever strike you have selected on the sidebar slider.</w:t>
      </w:r>
    </w:p>
    <w:p>
      <w:pPr>
        <w:spacing w:after="80"/>
      </w:pPr>
    </w:p>
    <w:p>
      <w:pPr>
        <w:pStyle w:val="Heading2"/>
        <w:spacing w:before="280" w:after="80"/>
      </w:pPr>
      <w:r>
        <w:rPr>
          <w:rFonts w:ascii="Arial" w:cs="Arial" w:eastAsia="Arial" w:hAnsi="Arial"/>
          <w:b/>
          <w:bCs/>
          <w:color w:val="2E75B6"/>
          <w:sz w:val="26"/>
          <w:szCs w:val="26"/>
        </w:rPr>
        <w:t xml:space="preserve">How to use the chain view</w:t>
      </w:r>
    </w:p>
    <w:p>
      <w:pPr>
        <w:pStyle w:val="ListParagraph"/>
        <w:numPr>
          <w:ilvl w:val="0"/>
          <w:numId w:val="2"/>
        </w:numPr>
        <w:spacing w:after="60"/>
      </w:pPr>
      <w:r>
        <w:rPr>
          <w:rFonts w:ascii="Arial" w:cs="Arial" w:eastAsia="Arial" w:hAnsi="Arial"/>
          <w:color w:val="000000"/>
          <w:sz w:val="22"/>
          <w:szCs w:val="22"/>
        </w:rPr>
        <w:t xml:space="preserve">Drag the Strike slider on the left to highlight different rows and compare cost vs delta across strikes.</w:t>
      </w:r>
    </w:p>
    <w:p>
      <w:pPr>
        <w:pStyle w:val="ListParagraph"/>
        <w:numPr>
          <w:ilvl w:val="0"/>
          <w:numId w:val="2"/>
        </w:numPr>
        <w:spacing w:after="60"/>
      </w:pPr>
      <w:r>
        <w:rPr>
          <w:rFonts w:ascii="Arial" w:cs="Arial" w:eastAsia="Arial" w:hAnsi="Arial"/>
          <w:color w:val="000000"/>
          <w:sz w:val="22"/>
          <w:szCs w:val="22"/>
        </w:rPr>
        <w:t xml:space="preserve">Drag the IV slider to see how the entire chain reprices when volatility changes — this is how you model what happens after an earnings event (IV collapse).</w:t>
      </w:r>
    </w:p>
    <w:p>
      <w:pPr>
        <w:pStyle w:val="ListParagraph"/>
        <w:numPr>
          <w:ilvl w:val="0"/>
          <w:numId w:val="2"/>
        </w:numPr>
        <w:spacing w:after="60"/>
      </w:pPr>
      <w:r>
        <w:rPr>
          <w:rFonts w:ascii="Arial" w:cs="Arial" w:eastAsia="Arial" w:hAnsi="Arial"/>
          <w:color w:val="000000"/>
          <w:sz w:val="22"/>
          <w:szCs w:val="22"/>
        </w:rPr>
        <w:t xml:space="preserve">Use the chain to identify value pockets: a strike that has a delta of 0.35 but costs only 4% of the stock price may offer better risk-reward than an ATM option for a LEAP thesis.</w:t>
      </w:r>
    </w:p>
    <w:p>
      <w:pPr>
        <w:spacing w:after="200"/>
      </w:pPr>
    </w:p>
    <w:p>
      <w:r>
        <w:br w:type="page"/>
      </w:r>
    </w:p>
    <w:p>
      <w:pPr>
        <w:pStyle w:val="Heading1"/>
        <w:pBdr>
          <w:bottom w:val="single" w:color="2E75B6" w:sz="8" w:space="4"/>
        </w:pBdr>
        <w:spacing w:before="360" w:after="120"/>
      </w:pPr>
      <w:r>
        <w:rPr>
          <w:rFonts w:ascii="Arial" w:cs="Arial" w:eastAsia="Arial" w:hAnsi="Arial"/>
          <w:b/>
          <w:bCs/>
          <w:color w:val="1F4E79"/>
          <w:sz w:val="32"/>
          <w:szCs w:val="32"/>
        </w:rPr>
        <w:t xml:space="preserve">7. The LEAP + Put Hedge calculator</w:t>
      </w:r>
    </w:p>
    <w:p>
      <w:pPr>
        <w:spacing w:after="100"/>
      </w:pPr>
      <w:r>
        <w:rPr>
          <w:rFonts w:ascii="Arial" w:cs="Arial" w:eastAsia="Arial" w:hAnsi="Arial"/>
          <w:color w:val="333333"/>
          <w:sz w:val="22"/>
          <w:szCs w:val="22"/>
        </w:rPr>
        <w:t xml:space="preserve">This is the most advanced and most valuable feature in the calculator. It solves a specific problem: you hold a long-dated LEAP call position on a quality stock, and there is an upcoming catalyst (earnings, FDA decision, macro event) that could cause a sharp short-term drop. You want to profit from the drop while keeping your LEAP intact to profit from the eventual recovery.</w:t>
      </w:r>
    </w:p>
    <w:p>
      <w:pPr>
        <w:spacing w:after="80"/>
      </w:pPr>
    </w:p>
    <w:p>
      <w:pPr>
        <w:pStyle w:val="Heading2"/>
        <w:spacing w:before="280" w:after="80"/>
      </w:pPr>
      <w:r>
        <w:rPr>
          <w:rFonts w:ascii="Arial" w:cs="Arial" w:eastAsia="Arial" w:hAnsi="Arial"/>
          <w:b/>
          <w:bCs/>
          <w:color w:val="2E75B6"/>
          <w:sz w:val="26"/>
          <w:szCs w:val="26"/>
        </w:rPr>
        <w:t xml:space="preserve">The concept: profiting both ways</w:t>
      </w:r>
    </w:p>
    <w:p>
      <w:pPr>
        <w:spacing w:after="100"/>
      </w:pPr>
      <w:r>
        <w:rPr>
          <w:rFonts w:ascii="Arial" w:cs="Arial" w:eastAsia="Arial" w:hAnsi="Arial"/>
          <w:color w:val="333333"/>
          <w:sz w:val="22"/>
          <w:szCs w:val="22"/>
        </w:rPr>
        <w:t xml:space="preserve">Here is how the dual-profit structure works:</w:t>
      </w:r>
    </w:p>
    <w:p>
      <w:pPr>
        <w:spacing w:after="60"/>
      </w:pPr>
    </w:p>
    <w:p>
      <w:pPr>
        <w:pStyle w:val="ListParagraph"/>
        <w:numPr>
          <w:ilvl w:val="0"/>
          <w:numId w:val="3"/>
        </w:numPr>
        <w:spacing w:after="80"/>
      </w:pPr>
      <w:r>
        <w:rPr>
          <w:rFonts w:ascii="Arial" w:cs="Arial" w:eastAsia="Arial" w:hAnsi="Arial"/>
          <w:color w:val="000000"/>
          <w:sz w:val="22"/>
          <w:szCs w:val="22"/>
        </w:rPr>
        <w:t xml:space="preserve">You already hold LEAP calls on a beaten-down quality stock. Your thesis is a recovery over 6-9 months.</w:t>
      </w:r>
    </w:p>
    <w:p>
      <w:pPr>
        <w:pStyle w:val="ListParagraph"/>
        <w:numPr>
          <w:ilvl w:val="0"/>
          <w:numId w:val="3"/>
        </w:numPr>
        <w:spacing w:after="80"/>
      </w:pPr>
      <w:r>
        <w:rPr>
          <w:rFonts w:ascii="Arial" w:cs="Arial" w:eastAsia="Arial" w:hAnsi="Arial"/>
          <w:color w:val="000000"/>
          <w:sz w:val="22"/>
          <w:szCs w:val="22"/>
        </w:rPr>
        <w:t xml:space="preserve">A catalyst event (e.g. earnings) is 1-2 weeks away. There is meaningful downside risk.</w:t>
      </w:r>
    </w:p>
    <w:p>
      <w:pPr>
        <w:pStyle w:val="ListParagraph"/>
        <w:numPr>
          <w:ilvl w:val="0"/>
          <w:numId w:val="3"/>
        </w:numPr>
        <w:spacing w:after="80"/>
      </w:pPr>
      <w:r>
        <w:rPr>
          <w:rFonts w:ascii="Arial" w:cs="Arial" w:eastAsia="Arial" w:hAnsi="Arial"/>
          <w:color w:val="000000"/>
          <w:sz w:val="22"/>
          <w:szCs w:val="22"/>
        </w:rPr>
        <w:t xml:space="preserve">You buy a small number of short-dated puts (2-14 DTE) at a strike slightly below the current price.</w:t>
      </w:r>
    </w:p>
    <w:p>
      <w:pPr>
        <w:pStyle w:val="ListParagraph"/>
        <w:numPr>
          <w:ilvl w:val="0"/>
          <w:numId w:val="3"/>
        </w:numPr>
        <w:spacing w:after="80"/>
      </w:pPr>
      <w:r>
        <w:rPr>
          <w:rFonts w:ascii="Arial" w:cs="Arial" w:eastAsia="Arial" w:hAnsi="Arial"/>
          <w:color w:val="000000"/>
          <w:sz w:val="22"/>
          <w:szCs w:val="22"/>
        </w:rPr>
        <w:t xml:space="preserve">If the stock drops on the catalyst, the puts profit significantly. The LEAP loses some value short-term but does not get stopped out because you used a hard stop, not a technical one.</w:t>
      </w:r>
    </w:p>
    <w:p>
      <w:pPr>
        <w:pStyle w:val="ListParagraph"/>
        <w:numPr>
          <w:ilvl w:val="0"/>
          <w:numId w:val="3"/>
        </w:numPr>
        <w:spacing w:after="80"/>
      </w:pPr>
      <w:r>
        <w:rPr>
          <w:rFonts w:ascii="Arial" w:cs="Arial" w:eastAsia="Arial" w:hAnsi="Arial"/>
          <w:color w:val="000000"/>
          <w:sz w:val="22"/>
          <w:szCs w:val="22"/>
        </w:rPr>
        <w:t xml:space="preserve">After the catalyst passes, IV collapses, you close the puts at a profit, and you continue holding the LEAP for the recovery thesis.</w:t>
      </w:r>
    </w:p>
    <w:p>
      <w:pPr>
        <w:pStyle w:val="ListParagraph"/>
        <w:numPr>
          <w:ilvl w:val="0"/>
          <w:numId w:val="3"/>
        </w:numPr>
        <w:spacing w:after="80"/>
      </w:pPr>
      <w:r>
        <w:rPr>
          <w:rFonts w:ascii="Arial" w:cs="Arial" w:eastAsia="Arial" w:hAnsi="Arial"/>
          <w:color w:val="000000"/>
          <w:sz w:val="22"/>
          <w:szCs w:val="22"/>
        </w:rPr>
        <w:t xml:space="preserve">If the stock does not drop, the puts expire worthless (small, defined loss) and the LEAP continues running.</w:t>
      </w:r>
    </w:p>
    <w:p>
      <w:pPr>
        <w:spacing w:after="120"/>
      </w:pPr>
    </w:p>
    <w:p>
      <w:pPr>
        <w:pStyle w:val="Heading2"/>
        <w:spacing w:before="280" w:after="80"/>
      </w:pPr>
      <w:r>
        <w:rPr>
          <w:rFonts w:ascii="Arial" w:cs="Arial" w:eastAsia="Arial" w:hAnsi="Arial"/>
          <w:b/>
          <w:bCs/>
          <w:color w:val="2E75B6"/>
          <w:sz w:val="26"/>
          <w:szCs w:val="26"/>
        </w:rPr>
        <w:t xml:space="preserve">The three hedge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Input</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What to set it to</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LEAP entry price</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The price per share you paid (or plan to pay) for the LEAP call. This is not the stock price — it is the option premium. Example: $8.50.</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LEAP contracts</w:t>
            </w:r>
          </w:p>
        </w:tc>
        <w:tc>
          <w:tcPr>
            <w:tcW w:type="dxa" w:w="6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How many LEAP contracts you hold in this position.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Put DTE</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Days until expiry of the hedge puts. 5-10 days is typical for an earnings hedge. Short enough to be cheap, long enough to capture the move.</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Strike below spot</w:t>
            </w:r>
          </w:p>
        </w:tc>
        <w:tc>
          <w:tcPr>
            <w:tcW w:type="dxa" w:w="6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How far below the current stock price to buy the puts. 3-7% OTM is typical. Further OTM = cheaper but needs a bigger move to profit.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Hedge ratio</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What percentage of your delta exposure to offset with puts. 50% is the standard starting point. 75-100% for high-conviction catalyst risk.</w:t>
            </w:r>
          </w:p>
        </w:tc>
      </w:tr>
    </w:tbl>
    <w:p>
      <w:pPr>
        <w:spacing w:after="120"/>
      </w:pPr>
    </w:p>
    <w:p>
      <w:pPr>
        <w:pStyle w:val="Heading2"/>
        <w:spacing w:before="280" w:after="80"/>
      </w:pPr>
      <w:r>
        <w:rPr>
          <w:rFonts w:ascii="Arial" w:cs="Arial" w:eastAsia="Arial" w:hAnsi="Arial"/>
          <w:b/>
          <w:bCs/>
          <w:color w:val="2E75B6"/>
          <w:sz w:val="26"/>
          <w:szCs w:val="26"/>
        </w:rPr>
        <w:t xml:space="preserve">The contracts needed output</w:t>
      </w:r>
    </w:p>
    <w:p>
      <w:pPr>
        <w:spacing w:after="100"/>
      </w:pPr>
      <w:r>
        <w:rPr>
          <w:rFonts w:ascii="Arial" w:cs="Arial" w:eastAsia="Arial" w:hAnsi="Arial"/>
          <w:color w:val="333333"/>
          <w:sz w:val="22"/>
          <w:szCs w:val="22"/>
        </w:rPr>
        <w:t xml:space="preserve">The calculator shows exactly how many put contracts to buy. This number is derived from your LEAP's total delta exposure, divided by the delta of one put contract, multiplied by the hedge ratio. You do not need to do this maths yourself.</w:t>
      </w:r>
    </w:p>
    <w:p>
      <w:pPr>
        <w:spacing w:after="200"/>
      </w:pPr>
    </w:p>
    <w:p>
      <w:r>
        <w:br w:type="page"/>
      </w:r>
    </w:p>
    <w:p>
      <w:pPr>
        <w:pStyle w:val="Heading1"/>
        <w:pBdr>
          <w:bottom w:val="single" w:color="2E75B6" w:sz="8" w:space="4"/>
        </w:pBdr>
        <w:spacing w:before="360" w:after="120"/>
      </w:pPr>
      <w:r>
        <w:rPr>
          <w:rFonts w:ascii="Arial" w:cs="Arial" w:eastAsia="Arial" w:hAnsi="Arial"/>
          <w:b/>
          <w:bCs/>
          <w:color w:val="1F4E79"/>
          <w:sz w:val="32"/>
          <w:szCs w:val="32"/>
        </w:rPr>
        <w:t xml:space="preserve">8. Worked example: NVDA LEAP + Earnings Put Hedge</w:t>
      </w:r>
    </w:p>
    <w:p>
      <w:pPr>
        <w:spacing w:after="100"/>
      </w:pPr>
      <w:r>
        <w:rPr>
          <w:rFonts w:ascii="Arial" w:cs="Arial" w:eastAsia="Arial" w:hAnsi="Arial"/>
          <w:color w:val="333333"/>
          <w:sz w:val="22"/>
          <w:szCs w:val="22"/>
        </w:rPr>
        <w:t xml:space="preserve">This example walks through a complete real-world setup from start to finish. The numbers are illustrative but realistic based on NVDA's typical pricing structure.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pPr>
              <w:spacing w:after="60"/>
            </w:pPr>
            <w:r>
              <w:rPr>
                <w:rFonts w:ascii="Arial" w:cs="Arial" w:eastAsia="Arial" w:hAnsi="Arial"/>
                <w:b/>
                <w:bCs/>
                <w:color w:val="FFFFFF"/>
                <w:sz w:val="24"/>
                <w:szCs w:val="24"/>
              </w:rPr>
              <w:t xml:space="preserve">Scenario Setup</w:t>
            </w:r>
          </w:p>
          <w:p>
            <w:pPr>
              <w:spacing w:after="40"/>
            </w:pPr>
            <w:r>
              <w:rPr>
                <w:rFonts w:ascii="Arial" w:cs="Arial" w:eastAsia="Arial" w:hAnsi="Arial"/>
                <w:color w:val="BDD7EE"/>
                <w:sz w:val="22"/>
                <w:szCs w:val="22"/>
              </w:rPr>
              <w:t xml:space="preserve">Ticker: NVDA  •  Stock price: $118  •  IV: 52%  •  Days to earnings: 9</w:t>
            </w:r>
          </w:p>
          <w:p>
            <w:pPr>
              <w:spacing w:after="0"/>
            </w:pPr>
            <w:r>
              <w:rPr>
                <w:rFonts w:ascii="Arial" w:cs="Arial" w:eastAsia="Arial" w:hAnsi="Arial"/>
                <w:color w:val="9DC3E6"/>
                <w:sz w:val="22"/>
                <w:szCs w:val="22"/>
              </w:rPr>
              <w:t xml:space="preserve">Thesis: NVDA has pulled back 38% from its 52-week high. Wide moat, strong growth, LEAP READY on SwingEdge screener. Earnings in 9 days creates short-term catalyst risk.</w:t>
            </w:r>
          </w:p>
        </w:tc>
      </w:tr>
    </w:tbl>
    <w:p>
      <w:pPr>
        <w:spacing w:after="120"/>
      </w:pPr>
    </w:p>
    <w:p>
      <w:pPr>
        <w:pStyle w:val="Heading2"/>
        <w:spacing w:before="280" w:after="80"/>
      </w:pPr>
      <w:r>
        <w:rPr>
          <w:rFonts w:ascii="Arial" w:cs="Arial" w:eastAsia="Arial" w:hAnsi="Arial"/>
          <w:b/>
          <w:bCs/>
          <w:color w:val="2E75B6"/>
          <w:sz w:val="26"/>
          <w:szCs w:val="26"/>
        </w:rPr>
        <w:t xml:space="preserve">Part A: Setting up the LEAP position</w:t>
      </w:r>
    </w:p>
    <w:p>
      <w:pPr>
        <w:spacing w:after="100"/>
      </w:pPr>
      <w:r>
        <w:rPr>
          <w:rFonts w:ascii="Arial" w:cs="Arial" w:eastAsia="Arial" w:hAnsi="Arial"/>
          <w:color w:val="333333"/>
          <w:sz w:val="22"/>
          <w:szCs w:val="22"/>
        </w:rPr>
        <w:t xml:space="preserve">Step 1 — Launch the calculator and click LEAP + Hedge in the strategy tabs.</w:t>
      </w:r>
    </w:p>
    <w:p>
      <w:pPr>
        <w:spacing w:after="60"/>
      </w:pPr>
    </w:p>
    <w:p>
      <w:pPr>
        <w:spacing w:after="100"/>
      </w:pPr>
      <w:r>
        <w:rPr>
          <w:rFonts w:ascii="Arial" w:cs="Arial" w:eastAsia="Arial" w:hAnsi="Arial"/>
          <w:color w:val="333333"/>
          <w:sz w:val="22"/>
          <w:szCs w:val="22"/>
        </w:rPr>
        <w:t xml:space="preserve">Step 2 — Type NVDA in the ticker box and click Fetch Live. The calculator automatically loads:</w:t>
      </w:r>
    </w:p>
    <w:p>
      <w:pPr>
        <w:pStyle w:val="ListParagraph"/>
        <w:numPr>
          <w:ilvl w:val="0"/>
          <w:numId w:val="2"/>
        </w:numPr>
        <w:spacing w:after="60"/>
      </w:pPr>
      <w:r>
        <w:rPr>
          <w:rFonts w:ascii="Arial" w:cs="Arial" w:eastAsia="Arial" w:hAnsi="Arial"/>
          <w:color w:val="000000"/>
          <w:sz w:val="22"/>
          <w:szCs w:val="22"/>
        </w:rPr>
        <w:t xml:space="preserve">Spot price: $118.00</w:t>
      </w:r>
    </w:p>
    <w:p>
      <w:pPr>
        <w:pStyle w:val="ListParagraph"/>
        <w:numPr>
          <w:ilvl w:val="0"/>
          <w:numId w:val="2"/>
        </w:numPr>
        <w:spacing w:after="60"/>
      </w:pPr>
      <w:r>
        <w:rPr>
          <w:rFonts w:ascii="Arial" w:cs="Arial" w:eastAsia="Arial" w:hAnsi="Arial"/>
          <w:color w:val="000000"/>
          <w:sz w:val="22"/>
          <w:szCs w:val="22"/>
        </w:rPr>
        <w:t xml:space="preserve">IV%: 52% (pulled from the live options chain ATM strike)</w:t>
      </w:r>
    </w:p>
    <w:p>
      <w:pPr>
        <w:spacing w:after="60"/>
      </w:pPr>
    </w:p>
    <w:p>
      <w:pPr>
        <w:spacing w:after="100"/>
      </w:pPr>
      <w:r>
        <w:rPr>
          <w:rFonts w:ascii="Arial" w:cs="Arial" w:eastAsia="Arial" w:hAnsi="Arial"/>
          <w:color w:val="333333"/>
          <w:sz w:val="22"/>
          <w:szCs w:val="22"/>
        </w:rPr>
        <w:t xml:space="preserve">Step 3 — Set the main sliders: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Slider</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Value and reason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Strike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$115 (3% below spot — slightly ITM to maximise delta capture on recovery)</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Days to expiry</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240 days (falls outside the 180-270 DTE LEAP window, giving 8+ months for thesis to play out)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IV%</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52% (auto-loaded from live chain — no manual input needed)</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Contracts</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3 (sizing for a mid-conviction entry)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Risk-free rate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4.5% (current approximate rate — leave at default)</w:t>
            </w:r>
          </w:p>
        </w:tc>
      </w:tr>
    </w:tbl>
    <w:p>
      <w:pPr>
        <w:spacing w:after="80"/>
      </w:pPr>
    </w:p>
    <w:p>
      <w:pPr>
        <w:spacing w:after="100"/>
      </w:pPr>
      <w:r>
        <w:rPr>
          <w:rFonts w:ascii="Arial" w:cs="Arial" w:eastAsia="Arial" w:hAnsi="Arial"/>
          <w:color w:val="333333"/>
          <w:sz w:val="22"/>
          <w:szCs w:val="22"/>
        </w:rPr>
        <w:t xml:space="preserve">After setting these values, the metric cards will show approximately: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CCCCC" w:sz="1"/>
              <w:left w:val="single" w:color="CCCCCC" w:sz="1"/>
              <w:bottom w:val="single" w:color="CCCCCC" w:sz="1"/>
              <w:right w:val="single" w:color="CCCCCC" w:sz="1"/>
            </w:tcBorders>
            <w:shd w:fill="1A6B5A"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7020"/>
            <w:tcBorders>
              <w:top w:val="single" w:color="CCCCCC" w:sz="1"/>
              <w:left w:val="single" w:color="CCCCCC" w:sz="1"/>
              <w:bottom w:val="single" w:color="CCCCCC" w:sz="1"/>
              <w:right w:val="single" w:color="CCCCCC" w:sz="1"/>
            </w:tcBorders>
            <w:shd w:fill="1A6B5A" w:val="clear"/>
            <w:tcMar>
              <w:top w:type="dxa" w:w="80"/>
              <w:left w:type="dxa" w:w="120"/>
              <w:bottom w:type="dxa" w:w="80"/>
              <w:right w:type="dxa" w:w="120"/>
            </w:tcMar>
          </w:tcPr>
          <w:p>
            <w:r>
              <w:rPr>
                <w:rFonts w:ascii="Arial" w:cs="Arial" w:eastAsia="Arial" w:hAnsi="Arial"/>
                <w:b/>
                <w:bCs/>
                <w:color w:val="FFFFFF"/>
                <w:sz w:val="18"/>
                <w:szCs w:val="18"/>
              </w:rPr>
              <w:t xml:space="preserve">Approximate value</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Option Premium</w:t>
            </w:r>
          </w:p>
        </w:tc>
        <w:tc>
          <w:tcPr>
            <w:tcW w:type="dxa" w:w="70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$18.40 per share</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Breakeven at expiry</w:t>
            </w:r>
          </w:p>
        </w:tc>
        <w:tc>
          <w:tcPr>
            <w:tcW w:type="dxa" w:w="70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$133.40 (strike $115 + premium $18.40)</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Max Loss (total)</w:t>
            </w:r>
          </w:p>
        </w:tc>
        <w:tc>
          <w:tcPr>
            <w:tcW w:type="dxa" w:w="70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-$5,520 (3 contracts x 100 x $18.40)</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Delta</w:t>
            </w:r>
          </w:p>
        </w:tc>
        <w:tc>
          <w:tcPr>
            <w:tcW w:type="dxa" w:w="70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0.56 (the option moves $0.56 for every $1 NVDA moves)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6B5A" w:sz="12"/>
              <w:bottom w:val="single" w:color="CCCCCC" w:sz="1"/>
              <w:right w:val="single" w:color="CCCCCC" w:sz="1"/>
            </w:tcBorders>
            <w:shd w:fill="E1F5EE" w:val="clear"/>
            <w:tcMar>
              <w:top w:type="dxa" w:w="120"/>
              <w:left w:type="dxa" w:w="180"/>
              <w:bottom w:type="dxa" w:w="120"/>
              <w:right w:type="dxa" w:w="180"/>
            </w:tcMar>
          </w:tcPr>
          <w:p>
            <w:pPr>
              <w:spacing w:after="40"/>
            </w:pPr>
            <w:r>
              <w:rPr>
                <w:rFonts w:ascii="Arial" w:cs="Arial" w:eastAsia="Arial" w:hAnsi="Arial"/>
                <w:b/>
                <w:bCs/>
                <w:color w:val="1A6B5A"/>
                <w:sz w:val="20"/>
                <w:szCs w:val="20"/>
              </w:rPr>
              <w:t xml:space="preserve">Reading the heatmap for this LEAP</w:t>
            </w:r>
          </w:p>
          <w:p>
            <w:pPr>
              <w:spacing w:after="0"/>
            </w:pPr>
            <w:r>
              <w:rPr>
                <w:rFonts w:ascii="Arial" w:cs="Arial" w:eastAsia="Arial" w:hAnsi="Arial"/>
                <w:color w:val="333333"/>
                <w:sz w:val="20"/>
                <w:szCs w:val="20"/>
              </w:rPr>
              <w:t xml:space="preserve">Switch to the P&amp;L Heatmap view. Look at the 50% elapsed column (approximately month 4). If NVDA recovers just 15% from $118 to approximately $136, the heatmap shows roughly +$2,400 to +$3,600 total P&amp;L across your 3 contracts. You do not need NVDA to hit $133.40 at expiry — time value works in your favour in the first half of the option's life.</w:t>
            </w:r>
          </w:p>
        </w:tc>
      </w:tr>
    </w:tbl>
    <w:p>
      <w:pPr>
        <w:spacing w:after="120"/>
      </w:pPr>
    </w:p>
    <w:p>
      <w:pPr>
        <w:pStyle w:val="Heading2"/>
        <w:spacing w:before="280" w:after="80"/>
      </w:pPr>
      <w:r>
        <w:rPr>
          <w:rFonts w:ascii="Arial" w:cs="Arial" w:eastAsia="Arial" w:hAnsi="Arial"/>
          <w:b/>
          <w:bCs/>
          <w:color w:val="2E75B6"/>
          <w:sz w:val="26"/>
          <w:szCs w:val="26"/>
        </w:rPr>
        <w:t xml:space="preserve">Part B: Setting up the earnings put hedge</w:t>
      </w:r>
    </w:p>
    <w:p>
      <w:pPr>
        <w:spacing w:after="100"/>
      </w:pPr>
      <w:r>
        <w:rPr>
          <w:rFonts w:ascii="Arial" w:cs="Arial" w:eastAsia="Arial" w:hAnsi="Arial"/>
          <w:color w:val="333333"/>
          <w:sz w:val="22"/>
          <w:szCs w:val="22"/>
        </w:rPr>
        <w:t xml:space="preserve">Earnings are in 9 days. NVDA historically moves 8-12% on earnings. You want to hedge against a drop while keeping your LEAP.</w:t>
      </w:r>
    </w:p>
    <w:p>
      <w:pPr>
        <w:spacing w:after="80"/>
      </w:pPr>
    </w:p>
    <w:p>
      <w:pPr>
        <w:spacing w:after="100"/>
      </w:pPr>
      <w:r>
        <w:rPr>
          <w:rFonts w:ascii="Arial" w:cs="Arial" w:eastAsia="Arial" w:hAnsi="Arial"/>
          <w:color w:val="333333"/>
          <w:sz w:val="22"/>
          <w:szCs w:val="22"/>
        </w:rPr>
        <w:t xml:space="preserve">Step 4 — In the LEAP + Put Hedge section at the bottom, set: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r>
              <w:rPr>
                <w:rFonts w:ascii="Arial" w:cs="Arial" w:eastAsia="Arial" w:hAnsi="Arial"/>
                <w:b/>
                <w:bCs/>
                <w:color w:val="FFFFFF"/>
                <w:sz w:val="18"/>
                <w:szCs w:val="18"/>
              </w:rPr>
              <w:t xml:space="preserve">Hedge input</w:t>
            </w:r>
          </w:p>
        </w:tc>
        <w:tc>
          <w:tcPr>
            <w:tcW w:type="dxa" w:w="656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r>
              <w:rPr>
                <w:rFonts w:ascii="Arial" w:cs="Arial" w:eastAsia="Arial" w:hAnsi="Arial"/>
                <w:b/>
                <w:bCs/>
                <w:color w:val="FFFFFF"/>
                <w:sz w:val="18"/>
                <w:szCs w:val="18"/>
              </w:rPr>
              <w:t xml:space="preserve">Value and reason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LEAP entry price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$18.40 (the premium you just paid)</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LEAP contracts</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3 (matches your position)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Put DTE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10 days (covers the earnings event with 1 day buffer)</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Strike below spot</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-5% (put strike at approximately $112, moderately OTM)</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Hedge ratio</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75% (higher conviction — earnings is a known binary risk)</w:t>
            </w:r>
          </w:p>
        </w:tc>
      </w:tr>
    </w:tbl>
    <w:p>
      <w:pPr>
        <w:spacing w:after="80"/>
      </w:pPr>
    </w:p>
    <w:p>
      <w:pPr>
        <w:spacing w:after="100"/>
      </w:pPr>
      <w:r>
        <w:rPr>
          <w:rFonts w:ascii="Arial" w:cs="Arial" w:eastAsia="Arial" w:hAnsi="Arial"/>
          <w:color w:val="333333"/>
          <w:sz w:val="22"/>
          <w:szCs w:val="22"/>
        </w:rPr>
        <w:t xml:space="preserve">The calculator will output something like: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4053" w:val="clear"/>
            <w:tcMar>
              <w:top w:type="dxa" w:w="120"/>
              <w:left w:type="dxa" w:w="200"/>
              <w:bottom w:type="dxa" w:w="120"/>
              <w:right w:type="dxa" w:w="200"/>
            </w:tcMar>
          </w:tcPr>
          <w:p>
            <w:pPr>
              <w:spacing w:after="40"/>
            </w:pPr>
            <w:r>
              <w:rPr>
                <w:rFonts w:ascii="Arial" w:cs="Arial" w:eastAsia="Arial" w:hAnsi="Arial"/>
                <w:b/>
                <w:bCs/>
                <w:color w:val="F0A500"/>
                <w:sz w:val="26"/>
                <w:szCs w:val="26"/>
              </w:rPr>
              <w:t xml:space="preserve">Contracts needed: 4 puts</w:t>
            </w:r>
          </w:p>
          <w:p>
            <w:pPr>
              <w:spacing w:after="30"/>
            </w:pPr>
            <w:r>
              <w:rPr>
                <w:rFonts w:ascii="Arial" w:cs="Arial" w:eastAsia="Arial" w:hAnsi="Arial"/>
                <w:color w:val="BDD7EE"/>
                <w:sz w:val="20"/>
                <w:szCs w:val="20"/>
              </w:rPr>
              <w:t xml:space="preserve">Put strike: $112.10  •  Delta: -0.32  •  Premium: $1.85/share</w:t>
            </w:r>
          </w:p>
          <w:p>
            <w:pPr>
              <w:spacing w:after="0"/>
            </w:pPr>
            <w:r>
              <w:rPr>
                <w:rFonts w:ascii="Arial" w:cs="Arial" w:eastAsia="Arial" w:hAnsi="Arial"/>
                <w:color w:val="FF7B72"/>
                <w:sz w:val="20"/>
                <w:szCs w:val="20"/>
              </w:rPr>
              <w:t xml:space="preserve">Hedge cost: -$740  (4 contracts x 100 x $1.85)</w:t>
            </w:r>
          </w:p>
        </w:tc>
      </w:tr>
    </w:tbl>
    <w:p>
      <w:pPr>
        <w:spacing w:after="120"/>
      </w:pPr>
    </w:p>
    <w:p>
      <w:pPr>
        <w:pStyle w:val="Heading2"/>
        <w:spacing w:before="280" w:after="80"/>
      </w:pPr>
      <w:r>
        <w:rPr>
          <w:rFonts w:ascii="Arial" w:cs="Arial" w:eastAsia="Arial" w:hAnsi="Arial"/>
          <w:b/>
          <w:bCs/>
          <w:color w:val="2E75B6"/>
          <w:sz w:val="26"/>
          <w:szCs w:val="26"/>
        </w:rPr>
        <w:t xml:space="preserve">Part C: Reading the scenario table</w:t>
      </w:r>
    </w:p>
    <w:p>
      <w:pPr>
        <w:spacing w:after="100"/>
      </w:pPr>
      <w:r>
        <w:rPr>
          <w:rFonts w:ascii="Arial" w:cs="Arial" w:eastAsia="Arial" w:hAnsi="Arial"/>
          <w:color w:val="333333"/>
          <w:sz w:val="22"/>
          <w:szCs w:val="22"/>
        </w:rPr>
        <w:t xml:space="preserve">The Catalyst Scenarios table in the third panel shows what happens under different outcomes. Here is what it would show approximately: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200"/>
        <w:gridCol w:w="2200"/>
        <w:gridCol w:w="3400"/>
      </w:tblGrid>
      <w:tr>
        <w:trPr>
          <w:tblHeader/>
        </w:trPr>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NVDA drop</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Put P&amp;L</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LEAP delta PnL</w:t>
            </w:r>
          </w:p>
        </w:tc>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Net combined</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Flat (0%)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-$740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-$0</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-$740 (put premium lost, LEAP unchanged)</w:t>
            </w:r>
          </w:p>
        </w:tc>
      </w:tr>
      <w:tr>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-5%</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+$1,460</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-$3,360</w:t>
            </w:r>
          </w:p>
        </w:tc>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-$1,900 (partial offset)</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-10%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+$4,860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-$6,720</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-$1,860 (strong put offset)</w:t>
            </w:r>
          </w:p>
        </w:tc>
      </w:tr>
      <w:tr>
        <w:tc>
          <w:tcPr>
            <w:tcW w:type="dxa" w:w="15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375623"/>
                <w:sz w:val="18"/>
                <w:szCs w:val="18"/>
              </w:rPr>
              <w:t xml:space="preserve">-15%</w:t>
            </w:r>
          </w:p>
        </w:tc>
        <w:tc>
          <w:tcPr>
            <w:tcW w:type="dxa" w:w="22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375623"/>
                <w:sz w:val="18"/>
                <w:szCs w:val="18"/>
              </w:rPr>
              <w:t xml:space="preserve">+$8,260</w:t>
            </w:r>
          </w:p>
        </w:tc>
        <w:tc>
          <w:tcPr>
            <w:tcW w:type="dxa" w:w="22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375623"/>
                <w:sz w:val="18"/>
                <w:szCs w:val="18"/>
              </w:rPr>
              <w:t xml:space="preserve">-$10,080</w:t>
            </w:r>
          </w:p>
        </w:tc>
        <w:tc>
          <w:tcPr>
            <w:tcW w:type="dxa" w:w="34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375623"/>
                <w:sz w:val="18"/>
                <w:szCs w:val="18"/>
              </w:rPr>
              <w:t xml:space="preserve">-$1,820 (puts nearly fully hedge the LEAP loss)</w:t>
            </w:r>
          </w:p>
        </w:tc>
      </w:tr>
      <w:tr>
        <w:tc>
          <w:tcPr>
            <w:tcW w:type="dxa" w:w="156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375623"/>
                <w:sz w:val="18"/>
                <w:szCs w:val="18"/>
              </w:rPr>
              <w:t xml:space="preserve">-20%</w:t>
            </w:r>
          </w:p>
        </w:tc>
        <w:tc>
          <w:tcPr>
            <w:tcW w:type="dxa" w:w="22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375623"/>
                <w:sz w:val="18"/>
                <w:szCs w:val="18"/>
              </w:rPr>
              <w:t xml:space="preserve">+$11,660</w:t>
            </w:r>
          </w:p>
        </w:tc>
        <w:tc>
          <w:tcPr>
            <w:tcW w:type="dxa" w:w="22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375623"/>
                <w:sz w:val="18"/>
                <w:szCs w:val="18"/>
              </w:rPr>
              <w:t xml:space="preserve">-$13,440</w:t>
            </w:r>
          </w:p>
        </w:tc>
        <w:tc>
          <w:tcPr>
            <w:tcW w:type="dxa" w:w="34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375623"/>
                <w:sz w:val="18"/>
                <w:szCs w:val="18"/>
              </w:rPr>
              <w:t xml:space="preserve">+$-1,780 (LEAP loss slightly exceeds put gain)</w:t>
            </w:r>
          </w:p>
        </w:tc>
      </w:tr>
      <w:tr>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-25%</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+$15,060</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-$16,800</w:t>
            </w:r>
          </w:p>
        </w:tc>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-$1,740 (consistent loss cap — hedge working)</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6B5A" w:sz="12"/>
              <w:bottom w:val="single" w:color="CCCCCC" w:sz="1"/>
              <w:right w:val="single" w:color="CCCCCC" w:sz="1"/>
            </w:tcBorders>
            <w:shd w:fill="E1F5EE" w:val="clear"/>
            <w:tcMar>
              <w:top w:type="dxa" w:w="120"/>
              <w:left w:type="dxa" w:w="180"/>
              <w:bottom w:type="dxa" w:w="120"/>
              <w:right w:type="dxa" w:w="180"/>
            </w:tcMar>
          </w:tcPr>
          <w:p>
            <w:pPr>
              <w:spacing w:after="40"/>
            </w:pPr>
            <w:r>
              <w:rPr>
                <w:rFonts w:ascii="Arial" w:cs="Arial" w:eastAsia="Arial" w:hAnsi="Arial"/>
                <w:b/>
                <w:bCs/>
                <w:color w:val="1A6B5A"/>
                <w:sz w:val="20"/>
                <w:szCs w:val="20"/>
              </w:rPr>
              <w:t xml:space="preserve">The key takeaway</w:t>
            </w:r>
          </w:p>
          <w:p>
            <w:pPr>
              <w:spacing w:after="0"/>
            </w:pPr>
            <w:r>
              <w:rPr>
                <w:rFonts w:ascii="Arial" w:cs="Arial" w:eastAsia="Arial" w:hAnsi="Arial"/>
                <w:color w:val="333333"/>
                <w:sz w:val="20"/>
                <w:szCs w:val="20"/>
              </w:rPr>
              <w:t xml:space="preserve">Without the hedge, a -15% drop on earnings would cost you approximately $10,080 on your LEAP position. With the hedge, that same drop costs only approximately $1,820. The LEAP is still alive, and you have nine months remaining for NVDA to recover. Meanwhile, if the stock is flat, you only lose $740 (the put premium) — a small, defined cost for catastrophe protection.</w:t>
            </w:r>
          </w:p>
        </w:tc>
      </w:tr>
    </w:tbl>
    <w:p>
      <w:pPr>
        <w:spacing w:after="120"/>
      </w:pPr>
    </w:p>
    <w:p>
      <w:pPr>
        <w:pStyle w:val="Heading2"/>
        <w:spacing w:before="280" w:after="80"/>
      </w:pPr>
      <w:r>
        <w:rPr>
          <w:rFonts w:ascii="Arial" w:cs="Arial" w:eastAsia="Arial" w:hAnsi="Arial"/>
          <w:b/>
          <w:bCs/>
          <w:color w:val="2E75B6"/>
          <w:sz w:val="26"/>
          <w:szCs w:val="26"/>
        </w:rPr>
        <w:t xml:space="preserve">Part D: What to do after the catalyst</w:t>
      </w:r>
    </w:p>
    <w:p>
      <w:pPr>
        <w:pStyle w:val="ListParagraph"/>
        <w:numPr>
          <w:ilvl w:val="0"/>
          <w:numId w:val="3"/>
        </w:numPr>
        <w:spacing w:after="80"/>
      </w:pPr>
      <w:r>
        <w:rPr>
          <w:rFonts w:ascii="Arial" w:cs="Arial" w:eastAsia="Arial" w:hAnsi="Arial"/>
          <w:color w:val="000000"/>
          <w:sz w:val="22"/>
          <w:szCs w:val="22"/>
        </w:rPr>
        <w:t xml:space="preserve">NVDA drops on earnings. Close the put contracts immediately on the first day after earnings, while IV is still collapsing. Do not hold puts through IV crush — the decay accelerates sharply after a binary event.</w:t>
      </w:r>
    </w:p>
    <w:p>
      <w:pPr>
        <w:pStyle w:val="ListParagraph"/>
        <w:numPr>
          <w:ilvl w:val="0"/>
          <w:numId w:val="3"/>
        </w:numPr>
        <w:spacing w:after="80"/>
      </w:pPr>
      <w:r>
        <w:rPr>
          <w:rFonts w:ascii="Arial" w:cs="Arial" w:eastAsia="Arial" w:hAnsi="Arial"/>
          <w:color w:val="000000"/>
          <w:sz w:val="22"/>
          <w:szCs w:val="22"/>
        </w:rPr>
        <w:t xml:space="preserve">Book the put profit. This cash can be used to add to the LEAP position at the new lower price, or simply held as buffer.</w:t>
      </w:r>
    </w:p>
    <w:p>
      <w:pPr>
        <w:pStyle w:val="ListParagraph"/>
        <w:numPr>
          <w:ilvl w:val="0"/>
          <w:numId w:val="3"/>
        </w:numPr>
        <w:spacing w:after="80"/>
      </w:pPr>
      <w:r>
        <w:rPr>
          <w:rFonts w:ascii="Arial" w:cs="Arial" w:eastAsia="Arial" w:hAnsi="Arial"/>
          <w:color w:val="000000"/>
          <w:sz w:val="22"/>
          <w:szCs w:val="22"/>
        </w:rPr>
        <w:t xml:space="preserve">Reassess the LEAP. Check the bottoming score in SwingEdge. If the fundamental thesis is intact (wide moat, earnings beat despite guidance cut, temporary sell-off), hold the LEAP. The heatmap still shows significant upside over the remaining DTE.</w:t>
      </w:r>
    </w:p>
    <w:p>
      <w:pPr>
        <w:pStyle w:val="ListParagraph"/>
        <w:numPr>
          <w:ilvl w:val="0"/>
          <w:numId w:val="3"/>
        </w:numPr>
        <w:spacing w:after="80"/>
      </w:pPr>
      <w:r>
        <w:rPr>
          <w:rFonts w:ascii="Arial" w:cs="Arial" w:eastAsia="Arial" w:hAnsi="Arial"/>
          <w:color w:val="000000"/>
          <w:sz w:val="22"/>
          <w:szCs w:val="22"/>
        </w:rPr>
        <w:t xml:space="preserve">Set a hard stop on the LEAP at -15% below your entry price. Do not use technical levels like Volume POC as the stop — beaten-down stocks have POC above current price by design. The stop is purely percentage-based.</w:t>
      </w:r>
    </w:p>
    <w:p>
      <w:pPr>
        <w:pStyle w:val="ListParagraph"/>
        <w:numPr>
          <w:ilvl w:val="0"/>
          <w:numId w:val="3"/>
        </w:numPr>
        <w:spacing w:after="80"/>
      </w:pPr>
      <w:r>
        <w:rPr>
          <w:rFonts w:ascii="Arial" w:cs="Arial" w:eastAsia="Arial" w:hAnsi="Arial"/>
          <w:color w:val="000000"/>
          <w:sz w:val="22"/>
          <w:szCs w:val="22"/>
        </w:rPr>
        <w:t xml:space="preserve">Wait for the recovery. The 180-270 DTE window exists precisely because recoveries take time. A 15% drop one week after entry does not invalidate a 240 DTE thesis.</w:t>
      </w:r>
    </w:p>
    <w:p>
      <w:pPr>
        <w:spacing w:after="200"/>
      </w:pPr>
    </w:p>
    <w:p>
      <w:r>
        <w:br w:type="page"/>
      </w:r>
    </w:p>
    <w:p>
      <w:pPr>
        <w:pStyle w:val="Heading1"/>
        <w:pBdr>
          <w:bottom w:val="single" w:color="2E75B6" w:sz="8" w:space="4"/>
        </w:pBdr>
        <w:spacing w:before="360" w:after="120"/>
      </w:pPr>
      <w:r>
        <w:rPr>
          <w:rFonts w:ascii="Arial" w:cs="Arial" w:eastAsia="Arial" w:hAnsi="Arial"/>
          <w:b/>
          <w:bCs/>
          <w:color w:val="1F4E79"/>
          <w:sz w:val="32"/>
          <w:szCs w:val="32"/>
        </w:rPr>
        <w:t xml:space="preserve">9. Quick reference</w:t>
      </w:r>
    </w:p>
    <w:p>
      <w:pPr>
        <w:spacing w:after="60"/>
      </w:pPr>
    </w:p>
    <w:p>
      <w:pPr>
        <w:pStyle w:val="Heading2"/>
        <w:spacing w:before="280" w:after="80"/>
      </w:pPr>
      <w:r>
        <w:rPr>
          <w:rFonts w:ascii="Arial" w:cs="Arial" w:eastAsia="Arial" w:hAnsi="Arial"/>
          <w:b/>
          <w:bCs/>
          <w:color w:val="2E75B6"/>
          <w:sz w:val="26"/>
          <w:szCs w:val="26"/>
        </w:rPr>
        <w:t xml:space="preserve">Greeks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2160"/>
        <w:gridCol w:w="3600"/>
      </w:tblGrid>
      <w:tr>
        <w:trPr>
          <w:tblHeader/>
        </w:trPr>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Greek</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What it measures</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Good range for LEAPs</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Watch out for</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Delta</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move per $1 stock move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0.40 to 0.65 (near-ATM)</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Below 0.25 = too OTM, needs huge move</w:t>
            </w:r>
          </w:p>
        </w:tc>
      </w:tr>
      <w:tr>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Gamma</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Rate of delta change</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Low is fine for LEAPs</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High gamma = ITM/OTM can flip quickly</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Theta</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Daily decay in $</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Should be small for LEAPs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Theta accelerates past 90 DTE — exit before then</w:t>
            </w:r>
          </w:p>
        </w:tc>
      </w:tr>
      <w:tr>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Vega</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 change per 1% IV move</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Higher = more IV exposure</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Buy when IV is low, sell when IV is high</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Rho</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 change per 1% rate change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Small for most purposes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Matters for very long-dated options in rate cycles</w:t>
            </w:r>
          </w:p>
        </w:tc>
      </w:tr>
    </w:tbl>
    <w:p>
      <w:pPr>
        <w:spacing w:after="120"/>
      </w:pPr>
    </w:p>
    <w:p>
      <w:pPr>
        <w:pStyle w:val="Heading2"/>
        <w:spacing w:before="280" w:after="80"/>
      </w:pPr>
      <w:r>
        <w:rPr>
          <w:rFonts w:ascii="Arial" w:cs="Arial" w:eastAsia="Arial" w:hAnsi="Arial"/>
          <w:b/>
          <w:bCs/>
          <w:color w:val="2E75B6"/>
          <w:sz w:val="26"/>
          <w:szCs w:val="26"/>
        </w:rPr>
        <w:t xml:space="preserve">Common mistakes to avoid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Mistake</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What to do instead</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Entering a LEAP when IV is above 60%</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Wait for IV to drop below 50%. Buy low IV, not high IV. The chain view shows how much cheaper the option becomes.</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Setting a LEAP stop at the Volume POC price</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Use a hard -15% below entry price. POC sits above current price on beaten-down stocks by design — it is a target, not a floor.</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Holding put hedges through an earnings event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Close the puts on the morning after the catalyst. IV collapses rapidly and takes put value with it even if the stock fell.</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Buying deep OTM options to save premium</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A $2 option that needs a 40% move is not cheap — it is more likely to expire worthless. The chain view shows the delta reality.</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Ignoring Theta for short-dated positions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Check the Theta/day figure in the sidebar. A 14 DTE put losing $12/day means you lose $168 before the trade even reacts.</w:t>
            </w:r>
          </w:p>
        </w:tc>
      </w:tr>
    </w:tbl>
    <w:p>
      <w:pPr>
        <w:spacing w:after="120"/>
      </w:pPr>
    </w:p>
    <w:p>
      <w:pPr>
        <w:pStyle w:val="Heading2"/>
        <w:spacing w:before="280" w:after="80"/>
      </w:pPr>
      <w:r>
        <w:rPr>
          <w:rFonts w:ascii="Arial" w:cs="Arial" w:eastAsia="Arial" w:hAnsi="Arial"/>
          <w:b/>
          <w:bCs/>
          <w:color w:val="2E75B6"/>
          <w:sz w:val="26"/>
          <w:szCs w:val="26"/>
        </w:rPr>
        <w:t xml:space="preserve">Fetch Live status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Status badge</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Meaning and action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Green: AAPL live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Data loaded successfully. Price and IV are current from Yahoo Finance. Proceed with analysis.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Yellow: AAPL live (HV30)</w:t>
            </w:r>
          </w:p>
        </w:tc>
        <w:tc>
          <w:tcPr>
            <w:tcW w:type="dxa" w:w="6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Options chain IV was unavailable (market closed, illiquid chain). The IV shown is the 30-day Historical Volatility — a reasonable proxy. Consider adjusting IV slider slightly for market conditions.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Red: Server offline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The Python server is not running. Double-click launch_calculator.bat again. Make sure the Command Prompt window is still open.</w:t>
            </w:r>
          </w:p>
        </w:tc>
      </w:tr>
    </w:tbl>
    <w:p>
      <w:pPr>
        <w:spacing w:after="120"/>
      </w:pPr>
    </w:p>
    <w:p>
      <w:pPr>
        <w:pStyle w:val="Heading2"/>
        <w:spacing w:before="280" w:after="80"/>
      </w:pPr>
      <w:r>
        <w:rPr>
          <w:rFonts w:ascii="Arial" w:cs="Arial" w:eastAsia="Arial" w:hAnsi="Arial"/>
          <w:b/>
          <w:bCs/>
          <w:color w:val="2E75B6"/>
          <w:sz w:val="26"/>
          <w:szCs w:val="26"/>
        </w:rPr>
        <w:t xml:space="preserve">Keyboard shortcuts</w:t>
      </w:r>
    </w:p>
    <w:p>
      <w:pPr>
        <w:pStyle w:val="ListParagraph"/>
        <w:numPr>
          <w:ilvl w:val="0"/>
          <w:numId w:val="2"/>
        </w:numPr>
        <w:spacing w:after="60"/>
      </w:pPr>
      <w:r>
        <w:rPr>
          <w:rFonts w:ascii="Arial" w:cs="Arial" w:eastAsia="Arial" w:hAnsi="Arial"/>
          <w:color w:val="000000"/>
          <w:sz w:val="22"/>
          <w:szCs w:val="22"/>
        </w:rPr>
        <w:t xml:space="preserve">Press Enter in the ticker box to trigger Fetch Live (same as clicking the button).</w:t>
      </w:r>
    </w:p>
    <w:p>
      <w:pPr>
        <w:pStyle w:val="ListParagraph"/>
        <w:numPr>
          <w:ilvl w:val="0"/>
          <w:numId w:val="2"/>
        </w:numPr>
        <w:spacing w:after="60"/>
      </w:pPr>
      <w:r>
        <w:rPr>
          <w:rFonts w:ascii="Arial" w:cs="Arial" w:eastAsia="Arial" w:hAnsi="Arial"/>
          <w:color w:val="000000"/>
          <w:sz w:val="22"/>
          <w:szCs w:val="22"/>
        </w:rPr>
        <w:t xml:space="preserve">Close the Command Prompt window to stop the server and free the port.</w:t>
      </w:r>
    </w:p>
    <w:p>
      <w:pPr>
        <w:pStyle w:val="ListParagraph"/>
        <w:numPr>
          <w:ilvl w:val="0"/>
          <w:numId w:val="2"/>
        </w:numPr>
        <w:spacing w:after="60"/>
      </w:pPr>
      <w:r>
        <w:rPr>
          <w:rFonts w:ascii="Arial" w:cs="Arial" w:eastAsia="Arial" w:hAnsi="Arial"/>
          <w:color w:val="000000"/>
          <w:sz w:val="22"/>
          <w:szCs w:val="22"/>
        </w:rPr>
        <w:t xml:space="preserve">Bookmark http://localhost:8765 in your browser if you prefer to use it in a regular window.</w:t>
      </w:r>
    </w:p>
    <w:p>
      <w:pPr>
        <w:spacing w:after="200"/>
      </w:pPr>
    </w:p>
    <w:p>
      <w:r>
        <w:br w:type="page"/>
      </w:r>
    </w:p>
    <w:p>
      <w:pPr>
        <w:pStyle w:val="Heading1"/>
        <w:pBdr>
          <w:bottom w:val="single" w:color="2E75B6" w:sz="8" w:space="4"/>
        </w:pBdr>
        <w:spacing w:before="360" w:after="120"/>
      </w:pPr>
      <w:r>
        <w:rPr>
          <w:rFonts w:ascii="Arial" w:cs="Arial" w:eastAsia="Arial" w:hAnsi="Arial"/>
          <w:b/>
          <w:bCs/>
          <w:color w:val="1F4E79"/>
          <w:sz w:val="32"/>
          <w:szCs w:val="32"/>
        </w:rPr>
        <w:t xml:space="preserve">10. Troubleshooting</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Problem</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Solution</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Server offline badge when clicking Fetch Live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The Python server must be running. Make sure you launched via launch_calculator.bat and the Command Prompt window is still open.</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Python not found on first launch</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Install Python 3.9 or later from python.org. During installation, check Add Python to PATH. Restart Command Prompt after installing.</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Port 8765 already in use error</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Another instance of the server is running. Close all Command Prompt windows and try again. Or change the port number in options_calc_server.py from 8765 to another number (e.g. 8766) and update the fetch URL in options_calculator.html to match.</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Options chain returns no IV (HV30 fallback)</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This happens outside US market hours or for tickers with thin options markets. The HV30 fallback is acceptable — adjust the IV slider manually if you have a current IV reference.</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Window opens as browser tab instead of app</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Chrome or Edge is not installed, or the path is unusual. The calculator still works normally in a browser tab — the fetch and calculations are identical.</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Calculations differ from broker platform</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Black-Scholes assumes European-style exercise and no dividends. American options and dividend-paying stocks will show small differences. The directional analysis remains fully valid.</w:t>
            </w:r>
          </w:p>
        </w:tc>
      </w:tr>
    </w:tbl>
    <w:p>
      <w:pPr>
        <w:spacing w:after="200"/>
      </w:pPr>
    </w:p>
    <w:p>
      <w:pPr>
        <w:pStyle w:val="Heading1"/>
        <w:pBdr>
          <w:bottom w:val="single" w:color="2E75B6" w:sz="8" w:space="4"/>
        </w:pBdr>
        <w:spacing w:before="360" w:after="120"/>
      </w:pPr>
      <w:r>
        <w:rPr>
          <w:rFonts w:ascii="Arial" w:cs="Arial" w:eastAsia="Arial" w:hAnsi="Arial"/>
          <w:b/>
          <w:bCs/>
          <w:color w:val="1F4E79"/>
          <w:sz w:val="32"/>
          <w:szCs w:val="32"/>
        </w:rPr>
        <w:t xml:space="preserve">11. Integration with SwingEdge</w:t>
      </w:r>
    </w:p>
    <w:p>
      <w:pPr>
        <w:spacing w:after="100"/>
      </w:pPr>
      <w:r>
        <w:rPr>
          <w:rFonts w:ascii="Arial" w:cs="Arial" w:eastAsia="Arial" w:hAnsi="Arial"/>
          <w:color w:val="333333"/>
          <w:sz w:val="22"/>
          <w:szCs w:val="22"/>
        </w:rPr>
        <w:t xml:space="preserve">The options calculator is designed to work alongside your existing SwingEdge dashboard, not replace it. Here is the intended workflow:</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rPr>
          <w:tblHeader/>
        </w:trPr>
        <w:tc>
          <w:tcPr>
            <w:tcW w:type="dxa" w:w="1440"/>
            <w:tcBorders>
              <w:top w:val="single" w:color="CCCCCC" w:sz="1"/>
              <w:left w:val="single" w:color="CCCCCC" w:sz="1"/>
              <w:bottom w:val="single" w:color="CCCCCC" w:sz="1"/>
              <w:right w:val="single" w:color="CCCCCC" w:sz="1"/>
            </w:tcBorders>
            <w:shd w:fill="1A6B5A"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7920"/>
            <w:tcBorders>
              <w:top w:val="single" w:color="CCCCCC" w:sz="1"/>
              <w:left w:val="single" w:color="CCCCCC" w:sz="1"/>
              <w:bottom w:val="single" w:color="CCCCCC" w:sz="1"/>
              <w:right w:val="single" w:color="CCCCCC" w:sz="1"/>
            </w:tcBorders>
            <w:shd w:fill="1A6B5A" w:val="clear"/>
            <w:tcMar>
              <w:top w:type="dxa" w:w="80"/>
              <w:left w:type="dxa" w:w="120"/>
              <w:bottom w:type="dxa" w:w="80"/>
              <w:right w:type="dxa" w:w="120"/>
            </w:tcMar>
          </w:tcPr>
          <w:p>
            <w:r>
              <w:rPr>
                <w:rFonts w:ascii="Arial" w:cs="Arial" w:eastAsia="Arial" w:hAnsi="Arial"/>
                <w:b/>
                <w:bCs/>
                <w:color w:val="FFFFFF"/>
                <w:sz w:val="18"/>
                <w:szCs w:val="18"/>
              </w:rPr>
              <w:t xml:space="preserve">Action</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1</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Run the SwingEdge screener (Monday/Friday batch scan). Review the LEAP READY and BOUNCE READY category lists.</w:t>
            </w:r>
          </w:p>
        </w:tc>
      </w:tr>
      <w:tr>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2</w:t>
            </w:r>
          </w:p>
        </w:tc>
        <w:tc>
          <w:tcPr>
            <w:tcW w:type="dxa" w:w="79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Open a candidate ticker in SwingEdge ticker_v4.html. Check confluence score, moat, RSI gate, HV rank, and Fibonacci retracement status.</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3</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If the setup passes all three LEAP gates (confluence 65+, RSI below 45, HV rank below 55%), open the Options Calculator.</w:t>
            </w:r>
          </w:p>
        </w:tc>
      </w:tr>
      <w:tr>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4</w:t>
            </w:r>
          </w:p>
        </w:tc>
        <w:tc>
          <w:tcPr>
            <w:tcW w:type="dxa" w:w="79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Fetch Live for the ticker. The IV is automatically loaded from the real options chain — no cross-referencing needed.</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5</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Use the heatmap to confirm that your target price (Volume POC from SwingEdge) is achievable within the DTE window with a meaningful P&amp;L.</w:t>
            </w:r>
          </w:p>
        </w:tc>
      </w:tr>
      <w:tr>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6</w:t>
            </w:r>
          </w:p>
        </w:tc>
        <w:tc>
          <w:tcPr>
            <w:tcW w:type="dxa" w:w="79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333333"/>
                <w:sz w:val="18"/>
                <w:szCs w:val="18"/>
              </w:rPr>
              <w:t xml:space="preserve">If earnings are within 14 days, switch to LEAP + Hedge mode. Size the put hedge. Enter both positions simultaneously.</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7</w:t>
            </w:r>
          </w:p>
        </w:tc>
        <w:tc>
          <w:tcPr>
            <w:tcW w:type="dxa" w:w="7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After the catalyst, close the puts. Log the trade in the forward test tracker.</w:t>
            </w:r>
          </w:p>
        </w:tc>
      </w:tr>
    </w:tbl>
    <w:p>
      <w:pPr>
        <w:spacing w:after="200"/>
      </w:pPr>
    </w:p>
    <w:p>
      <w:r>
        <w:br w:type="page"/>
      </w:r>
    </w:p>
    <w:p>
      <w:pPr>
        <w:spacing w:after="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400"/>
              <w:left w:type="dxa" w:w="400"/>
              <w:bottom w:type="dxa" w:w="400"/>
              <w:right w:type="dxa" w:w="400"/>
            </w:tcMar>
          </w:tcPr>
          <w:p>
            <w:pPr>
              <w:spacing w:after="120"/>
              <w:jc w:val="center"/>
            </w:pPr>
            <w:r>
              <w:rPr>
                <w:rFonts w:ascii="Arial" w:cs="Arial" w:eastAsia="Arial" w:hAnsi="Arial"/>
                <w:b/>
                <w:bCs/>
                <w:color w:val="FFFFFF"/>
                <w:sz w:val="36"/>
                <w:szCs w:val="36"/>
              </w:rPr>
              <w:t xml:space="preserve">SwingEdge Options Calculator</w:t>
            </w:r>
          </w:p>
          <w:p>
            <w:pPr>
              <w:spacing w:after="80"/>
              <w:jc w:val="center"/>
            </w:pPr>
            <w:r>
              <w:rPr>
                <w:rFonts w:ascii="Arial" w:cs="Arial" w:eastAsia="Arial" w:hAnsi="Arial"/>
                <w:color w:val="BDD7EE"/>
                <w:sz w:val="22"/>
                <w:szCs w:val="22"/>
              </w:rPr>
              <w:t xml:space="preserve">Free APIs  •  Black-Scholes engine  •  No subscriptions required</w:t>
            </w:r>
          </w:p>
          <w:p>
            <w:pPr>
              <w:spacing w:after="200"/>
              <w:jc w:val="center"/>
            </w:pPr>
            <w:r>
              <w:rPr>
                <w:rFonts w:ascii="Arial" w:cs="Arial" w:eastAsia="Arial" w:hAnsi="Arial"/>
                <w:color w:val="9DC3E6"/>
                <w:sz w:val="20"/>
                <w:szCs w:val="20"/>
              </w:rPr>
              <w:t xml:space="preserve">Data source: Yahoo Finance (yfinance)  •  Runs on localhost:8765</w:t>
            </w:r>
          </w:p>
          <w:p>
            <w:pPr>
              <w:spacing w:after="0"/>
              <w:jc w:val="center"/>
            </w:pPr>
            <w:r>
              <w:rPr>
                <w:rFonts w:ascii="Arial" w:cs="Arial" w:eastAsia="Arial" w:hAnsi="Arial"/>
                <w:i/>
                <w:iCs/>
                <w:color w:val="5B9BD5"/>
                <w:sz w:val="18"/>
                <w:szCs w:val="18"/>
              </w:rPr>
              <w:t xml:space="preserve">Part of the SwingEdge systematic trading infrastructure  •  v1.0  •  2026</w:t>
            </w:r>
          </w:p>
        </w:tc>
      </w:tr>
    </w:tbl>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SwingEdge Options Calculator  |  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60"/>
      <w:outlineLvl w:val="2"/>
    </w:pPr>
    <w:rPr>
      <w:rFonts w:ascii="Arial" w:cs="Arial" w:eastAsia="Arial" w:hAnsi="Arial"/>
      <w:b/>
      <w:bCs/>
      <w:color w:val="1A6B5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2026-03-16T08:41:37.321Z</dcterms:created>
  <dcterms:modified xsi:type="dcterms:W3CDTF">2026-03-16T08:41:37.322Z</dcterms:modified>
</cp:coreProperties>
</file>

<file path=docProps/custom.xml><?xml version="1.0" encoding="utf-8"?>
<Properties xmlns="http://schemas.openxmlformats.org/officeDocument/2006/custom-properties" xmlns:vt="http://schemas.openxmlformats.org/officeDocument/2006/docPropsVTypes"/>
</file>