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proposing a new framework for AI governance in education, the EU AI Act draws</w:t>
      </w:r>
      <w:r>
        <w:t xml:space="preserve"> </w:t>
      </w:r>
      <w:r>
        <w:t xml:space="preserve">a conclusion that practitioners have long recognised implicitly: assessment is not a</w:t>
      </w:r>
      <w:r>
        <w:t xml:space="preserve"> </w:t>
      </w:r>
      <w:r>
        <w:t xml:space="preserve">neutral activity.</w:t>
      </w:r>
      <w:r>
        <w:t xml:space="preserve"> </w:t>
      </w:r>
      <w:r>
        <w:rPr>
          <w:smallCaps/>
        </w:rPr>
        <w:t xml:space="preserve">European Parliament</w:t>
      </w:r>
      <w:r>
        <w:t xml:space="preserve"> </w:t>
      </w:r>
      <w:r>
        <w:t xml:space="preserve">(2024, Art. 6) classifies AI systems</w:t>
      </w:r>
      <w:r>
        <w:t xml:space="preserve"> </w:t>
      </w:r>
      <w:r>
        <w:t xml:space="preserve">used to assess students in formal educational settings as high-risk under Annex III,</w:t>
      </w:r>
      <w:r>
        <w:t xml:space="preserve"> </w:t>
      </w:r>
      <w:r>
        <w:t xml:space="preserve">Section 3(a). This classification reflects the reality that assessment shapes student</w:t>
      </w:r>
      <w:r>
        <w:t xml:space="preserve"> </w:t>
      </w:r>
      <w:r>
        <w:t xml:space="preserve">progression and opportunity, that biased or incorrect automated feedback can cause</w:t>
      </w:r>
      <w:r>
        <w:t xml:space="preserve"> </w:t>
      </w:r>
      <w:r>
        <w:t xml:space="preserve">material harm to learners, and that ungoverned automated evaluation can progressively</w:t>
      </w:r>
      <w:r>
        <w:t xml:space="preserve"> </w:t>
      </w:r>
      <w:r>
        <w:t xml:space="preserve">displace the professional judgment on which good teaching depends.</w:t>
      </w:r>
    </w:p>
    <w:p>
      <w:pPr>
        <w:pStyle w:val="BodyText"/>
      </w:pPr>
      <w:r>
        <w:t xml:space="preserve">Yet the full implications of this regulatory position have not yet been fully absorbed</w:t>
      </w:r>
      <w:r>
        <w:t xml:space="preserve"> </w:t>
      </w:r>
      <w:r>
        <w:t xml:space="preserve">by the market. Most educational AI products are designed as if compliance were a</w:t>
      </w:r>
      <w:r>
        <w:t xml:space="preserve"> </w:t>
      </w:r>
      <w:r>
        <w:t xml:space="preserve">downstream concern—a documentation task to be completed once the product is built,</w:t>
      </w:r>
      <w:r>
        <w:t xml:space="preserve"> </w:t>
      </w:r>
      <w:r>
        <w:t xml:space="preserve">rather than a constraint that should shape every architectural decision from the outset.</w:t>
      </w:r>
    </w:p>
    <w:p>
      <w:pPr>
        <w:pStyle w:val="BodyText"/>
      </w:pPr>
      <w:r>
        <w:t xml:space="preserve">The purpose of this paper is to describe a different approach. Diotima is a formative</w:t>
      </w:r>
      <w:r>
        <w:t xml:space="preserve"> </w:t>
      </w:r>
      <w:r>
        <w:t xml:space="preserve">assessment platform designed from first principles as a compliance-grade system—one that</w:t>
      </w:r>
      <w:r>
        <w:t xml:space="preserve"> </w:t>
      </w:r>
      <w:r>
        <w:t xml:space="preserve">treats Annex III obligations not as a constraint on product development but as the</w:t>
      </w:r>
      <w:r>
        <w:t xml:space="preserve"> </w:t>
      </w:r>
      <w:r>
        <w:t xml:space="preserve">specification for it. The paper describes Diotima’s architecture, its approach to human</w:t>
      </w:r>
      <w:r>
        <w:t xml:space="preserve"> </w:t>
      </w:r>
      <w:r>
        <w:t xml:space="preserve">oversight and explainability, its model governance framework, and its data governance</w:t>
      </w:r>
      <w:r>
        <w:t xml:space="preserve"> </w:t>
      </w:r>
      <w:r>
        <w:t xml:space="preserve">posture. It then examines the implications of compliance-by-design for adoption in</w:t>
      </w:r>
      <w:r>
        <w:t xml:space="preserve"> </w:t>
      </w:r>
      <w:r>
        <w:t xml:space="preserve">regulated education markets.</w:t>
      </w:r>
    </w:p>
    <w:p>
      <w:pPr>
        <w:pStyle w:val="BodyText"/>
      </w:pPr>
      <w:r>
        <w:t xml:space="preserve">The paper proceeds as follows. Section 2 establishes the regulatory context and</w:t>
      </w:r>
      <w:r>
        <w:t xml:space="preserve"> </w:t>
      </w:r>
      <w:r>
        <w:t xml:space="preserve">identifies three foundational challenges that any serious educational AI platform must</w:t>
      </w:r>
      <w:r>
        <w:t xml:space="preserve"> </w:t>
      </w:r>
      <w:r>
        <w:t xml:space="preserve">address. Section 3 describes Diotima’s core design proposition and how it responds to</w:t>
      </w:r>
      <w:r>
        <w:t xml:space="preserve"> </w:t>
      </w:r>
      <w:r>
        <w:t xml:space="preserve">each of those challenges. Section 4 provides a system overview, including a mapping of</w:t>
      </w:r>
      <w:r>
        <w:t xml:space="preserve"> </w:t>
      </w:r>
      <w:r>
        <w:t xml:space="preserve">governance dimensions to lifecycle stages. Sections 5 through 10 examine the principal</w:t>
      </w:r>
      <w:r>
        <w:t xml:space="preserve"> </w:t>
      </w:r>
      <w:r>
        <w:t xml:space="preserve">governance dimensions in turn, tracing each to its regulatory obligation and its</w:t>
      </w:r>
      <w:r>
        <w:t xml:space="preserve"> </w:t>
      </w:r>
      <w:r>
        <w:t xml:space="preserve">expression in the system design. Section 11 examines the implications of</w:t>
      </w:r>
      <w:r>
        <w:t xml:space="preserve"> </w:t>
      </w:r>
      <w:r>
        <w:t xml:space="preserve">compliance-by-design for market adoption. Section 12 concludes.</w:t>
      </w:r>
    </w:p>
    <w:bookmarkEnd w:id="9"/>
    <w:bookmarkStart w:id="10" w:name="ai-in-education-is-high-risk-by-default"/>
    <w:p>
      <w:pPr>
        <w:pStyle w:val="Heading1"/>
      </w:pPr>
      <w:r>
        <w:t xml:space="preserve">AI in Education Is High-Risk by Default</w:t>
      </w:r>
    </w:p>
    <w:p>
      <w:pPr>
        <w:pStyle w:val="FirstParagraph"/>
      </w:pPr>
      <w:r>
        <w:t xml:space="preserve">The EU AI Act’s Annex III classification of educational assessment AI as high-risk</w:t>
      </w:r>
      <w:r>
        <w:t xml:space="preserve"> </w:t>
      </w:r>
      <w:r>
        <w:t xml:space="preserve">reflects a straightforward chain of reasoning. Assessment shapes student progression</w:t>
      </w:r>
      <w:r>
        <w:t xml:space="preserve"> </w:t>
      </w:r>
      <w:r>
        <w:t xml:space="preserve">and opportunity. Biased or incorrect AI outputs can materially harm learners. And if</w:t>
      </w:r>
      <w:r>
        <w:t xml:space="preserve"> </w:t>
      </w:r>
      <w:r>
        <w:t xml:space="preserve">automated evaluation is allowed to operate without robust human governance, it</w:t>
      </w:r>
      <w:r>
        <w:t xml:space="preserve"> </w:t>
      </w:r>
      <w:r>
        <w:t xml:space="preserve">progressively displaces the professional judgment that should sit at the centre of any</w:t>
      </w:r>
      <w:r>
        <w:t xml:space="preserve"> </w:t>
      </w:r>
      <w:r>
        <w:t xml:space="preserve">assessment decision.</w:t>
      </w:r>
    </w:p>
    <w:p>
      <w:pPr>
        <w:pStyle w:val="BodyText"/>
      </w:pPr>
      <w:r>
        <w:t xml:space="preserve">The high-risk designation applies even where AI is positioned as formative rather than</w:t>
      </w:r>
      <w:r>
        <w:t xml:space="preserve"> </w:t>
      </w:r>
      <w:r>
        <w:t xml:space="preserve">summative. Any system that analyses student responses, structures performance</w:t>
      </w:r>
      <w:r>
        <w:t xml:space="preserve"> </w:t>
      </w:r>
      <w:r>
        <w:t xml:space="preserve">interpretation, and generates feedback can meaningfully influence outcomes—regardless</w:t>
      </w:r>
      <w:r>
        <w:t xml:space="preserve"> </w:t>
      </w:r>
      <w:r>
        <w:t xml:space="preserve">of how it is labelled. The classification covers not just systems that assign official</w:t>
      </w:r>
      <w:r>
        <w:t xml:space="preserve"> </w:t>
      </w:r>
      <w:r>
        <w:t xml:space="preserve">grades, but any system whose outputs interact with the assessment process in a way that</w:t>
      </w:r>
      <w:r>
        <w:t xml:space="preserve"> </w:t>
      </w:r>
      <w:r>
        <w:t xml:space="preserve">could affect how a learner’s performance is perceived or recorded (</w:t>
      </w:r>
      <w:r>
        <w:rPr>
          <w:smallCaps/>
        </w:rPr>
        <w:t xml:space="preserve">European</w:t>
      </w:r>
      <w:r>
        <w:rPr>
          <w:smallCaps/>
        </w:rPr>
        <w:t xml:space="preserve"> </w:t>
      </w:r>
      <w:r>
        <w:rPr>
          <w:smallCaps/>
        </w:rPr>
        <w:t xml:space="preserve">Parliament</w:t>
      </w:r>
      <w:r>
        <w:t xml:space="preserve">, 2024, Annex III, s. 3(a)).</w:t>
      </w:r>
    </w:p>
    <w:p>
      <w:pPr>
        <w:pStyle w:val="BodyText"/>
      </w:pPr>
      <w:r>
        <w:t xml:space="preserve">Diotima therefore adopts a conservative, regulator-aligned position from the outset: it</w:t>
      </w:r>
      <w:r>
        <w:t xml:space="preserve"> </w:t>
      </w:r>
      <w:r>
        <w:t xml:space="preserve">is treated as a high-risk system by design. That choice is not defensive—it is</w:t>
      </w:r>
      <w:r>
        <w:t xml:space="preserve"> </w:t>
      </w:r>
      <w:r>
        <w:t xml:space="preserve">strategic. Every architectural decision, every governance mechanism, every operational</w:t>
      </w:r>
      <w:r>
        <w:t xml:space="preserve"> </w:t>
      </w:r>
      <w:r>
        <w:t xml:space="preserve">workflow is oriented by that classification.</w:t>
      </w:r>
    </w:p>
    <w:p>
      <w:pPr>
        <w:pStyle w:val="BodyText"/>
      </w:pPr>
      <w:r>
        <w:t xml:space="preserve">Three specific challenges follow from this classification that any serious educational</w:t>
      </w:r>
      <w:r>
        <w:t xml:space="preserve"> </w:t>
      </w:r>
      <w:r>
        <w:t xml:space="preserve">AI platform must address. The first is</w:t>
      </w:r>
      <w:r>
        <w:t xml:space="preserve"> </w:t>
      </w:r>
      <w:r>
        <w:rPr>
          <w:i/>
          <w:iCs/>
        </w:rPr>
        <w:t xml:space="preserve">hallucination and curriculum drift</w:t>
      </w:r>
      <w:r>
        <w:t xml:space="preserve">: AI</w:t>
      </w:r>
      <w:r>
        <w:t xml:space="preserve"> </w:t>
      </w:r>
      <w:r>
        <w:t xml:space="preserve">language models generate plausible but factually incorrect or pedagogically misaligned</w:t>
      </w:r>
      <w:r>
        <w:t xml:space="preserve"> </w:t>
      </w:r>
      <w:r>
        <w:t xml:space="preserve">outputs with no inherent connection to the curriculum being assessed. In formative</w:t>
      </w:r>
      <w:r>
        <w:t xml:space="preserve"> </w:t>
      </w:r>
      <w:r>
        <w:t xml:space="preserve">assessment contexts, where AI-generated content directly structures how student</w:t>
      </w:r>
      <w:r>
        <w:t xml:space="preserve"> </w:t>
      </w:r>
      <w:r>
        <w:t xml:space="preserve">performance is interpreted, this is not merely a quality problem but a safety one with</w:t>
      </w:r>
      <w:r>
        <w:t xml:space="preserve"> </w:t>
      </w:r>
      <w:r>
        <w:t xml:space="preserve">material consequences for learner outcomes. The second is</w:t>
      </w:r>
      <w:r>
        <w:t xml:space="preserve"> </w:t>
      </w:r>
      <w:r>
        <w:rPr>
          <w:i/>
          <w:iCs/>
        </w:rPr>
        <w:t xml:space="preserve">automation bias and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professional displacement</w:t>
      </w:r>
      <w:r>
        <w:t xml:space="preserve">: well-documented tendencies in human-computer interaction</w:t>
      </w:r>
      <w:r>
        <w:t xml:space="preserve"> </w:t>
      </w:r>
      <w:r>
        <w:t xml:space="preserve">lead users to accept or defer to automated outputs with insufficient critical scrutiny.</w:t>
      </w:r>
      <w:r>
        <w:t xml:space="preserve"> </w:t>
      </w:r>
      <w:r>
        <w:t xml:space="preserve">In educational assessment, this risk takes the specific form of teachers progressively</w:t>
      </w:r>
      <w:r>
        <w:t xml:space="preserve"> </w:t>
      </w:r>
      <w:r>
        <w:t xml:space="preserve">deferring to AI-generated evaluations rather than exercising independent professional</w:t>
      </w:r>
      <w:r>
        <w:t xml:space="preserve"> </w:t>
      </w:r>
      <w:r>
        <w:t xml:space="preserve">judgment—an outcome that Annex III’s oversight requirements are expressly designed to</w:t>
      </w:r>
      <w:r>
        <w:t xml:space="preserve"> </w:t>
      </w:r>
      <w:r>
        <w:t xml:space="preserve">prevent. The third is</w:t>
      </w:r>
      <w:r>
        <w:t xml:space="preserve"> </w:t>
      </w:r>
      <w:r>
        <w:rPr>
          <w:i/>
          <w:iCs/>
        </w:rPr>
        <w:t xml:space="preserve">the governance architecture deficit</w:t>
      </w:r>
      <w:r>
        <w:t xml:space="preserve">: the majority of</w:t>
      </w:r>
      <w:r>
        <w:t xml:space="preserve"> </w:t>
      </w:r>
      <w:r>
        <w:t xml:space="preserve">AI products currently deployed in educational settings were not designed for regulatory</w:t>
      </w:r>
      <w:r>
        <w:t xml:space="preserve"> </w:t>
      </w:r>
      <w:r>
        <w:t xml:space="preserve">alignment. Compliance has been treated as a retrospective documentation exercise,</w:t>
      </w:r>
      <w:r>
        <w:t xml:space="preserve"> </w:t>
      </w:r>
      <w:r>
        <w:t xml:space="preserve">creating a structural gap between the obligations that high-risk systems carry and the</w:t>
      </w:r>
      <w:r>
        <w:t xml:space="preserve"> </w:t>
      </w:r>
      <w:r>
        <w:t xml:space="preserve">architectures that purport to meet them.</w:t>
      </w:r>
    </w:p>
    <w:bookmarkEnd w:id="10"/>
    <w:bookmarkStart w:id="11" w:name="diotimas-core-design-proposition"/>
    <w:p>
      <w:pPr>
        <w:pStyle w:val="Heading1"/>
      </w:pPr>
      <w:r>
        <w:t xml:space="preserve">Diotima’s Core Design Proposition</w:t>
      </w:r>
    </w:p>
    <w:p>
      <w:pPr>
        <w:pStyle w:val="FirstParagraph"/>
      </w:pPr>
      <w:r>
        <w:t xml:space="preserve">The most important thing to establish is what Diotima is</w:t>
      </w:r>
      <w:r>
        <w:t xml:space="preserve"> </w:t>
      </w:r>
      <w:r>
        <w:rPr>
          <w:i/>
          <w:iCs/>
        </w:rPr>
        <w:t xml:space="preserve">not</w:t>
      </w:r>
      <w:r>
        <w:t xml:space="preserve">. It is not an</w:t>
      </w:r>
      <w:r>
        <w:t xml:space="preserve"> </w:t>
      </w:r>
      <w:r>
        <w:t xml:space="preserve">AI grader. It does not autonomously assign marks, determine outcomes, or make binding</w:t>
      </w:r>
      <w:r>
        <w:t xml:space="preserve"> </w:t>
      </w:r>
      <w:r>
        <w:t xml:space="preserve">decisions about student performance. Diotima is a teacher-centred decision-support</w:t>
      </w:r>
      <w:r>
        <w:t xml:space="preserve"> </w:t>
      </w:r>
      <w:r>
        <w:t xml:space="preserve">system for formative assessment—its function is to expand the scope and consistency</w:t>
      </w:r>
      <w:r>
        <w:t xml:space="preserve"> </w:t>
      </w:r>
      <w:r>
        <w:t xml:space="preserve">of formative feedback while preserving the judgment calls that professional expertise</w:t>
      </w:r>
      <w:r>
        <w:t xml:space="preserve"> </w:t>
      </w:r>
      <w:r>
        <w:t xml:space="preserve">requires, not to replace the professional authority at the heart of good teaching.</w:t>
      </w:r>
    </w:p>
    <w:p>
      <w:pPr>
        <w:pStyle w:val="BodyText"/>
      </w:pPr>
      <w:r>
        <w:t xml:space="preserve">Each of the three challenges identified in Section 2 has a direct architectural</w:t>
      </w:r>
      <w:r>
        <w:t xml:space="preserve"> </w:t>
      </w:r>
      <w:r>
        <w:t xml:space="preserve">response. Hallucination and curriculum drift are addressed through mandatory grounding</w:t>
      </w:r>
      <w:r>
        <w:t xml:space="preserve"> </w:t>
      </w:r>
      <w:r>
        <w:t xml:space="preserve">of all AI-generated content in approved, licensed source materials—the model cannot</w:t>
      </w:r>
      <w:r>
        <w:t xml:space="preserve"> </w:t>
      </w:r>
      <w:r>
        <w:t xml:space="preserve">generate content that is not explicitly linked to curriculum topics and approved texts.</w:t>
      </w:r>
      <w:r>
        <w:t xml:space="preserve"> </w:t>
      </w:r>
      <w:r>
        <w:t xml:space="preserve">Automation bias and professional displacement are addressed by making human oversight a</w:t>
      </w:r>
      <w:r>
        <w:t xml:space="preserve"> </w:t>
      </w:r>
      <w:r>
        <w:t xml:space="preserve">structural property of the workflow rather than a policy aspiration—no AI output is</w:t>
      </w:r>
      <w:r>
        <w:t xml:space="preserve"> </w:t>
      </w:r>
      <w:r>
        <w:t xml:space="preserve">ever presented to a student without teacher confirmation, and the system is technically</w:t>
      </w:r>
      <w:r>
        <w:t xml:space="preserve"> </w:t>
      </w:r>
      <w:r>
        <w:t xml:space="preserve">incapable of routing unreviewed outputs to learners. The governance architecture deficit</w:t>
      </w:r>
      <w:r>
        <w:t xml:space="preserve"> </w:t>
      </w:r>
      <w:r>
        <w:t xml:space="preserve">is addressed by treating Annex III obligations as the design specification from first</w:t>
      </w:r>
      <w:r>
        <w:t xml:space="preserve"> </w:t>
      </w:r>
      <w:r>
        <w:t xml:space="preserve">principles, so that compliance evidence is generated as a byproduct of normal operation</w:t>
      </w:r>
      <w:r>
        <w:t xml:space="preserve"> </w:t>
      </w:r>
      <w:r>
        <w:t xml:space="preserve">rather than assembled retrospectively.</w:t>
      </w:r>
    </w:p>
    <w:p>
      <w:pPr>
        <w:pStyle w:val="BodyText"/>
      </w:pPr>
      <w:r>
        <w:t xml:space="preserve">In practice, Diotima supports teachers to: generate curriculum-aligned questions</w:t>
      </w:r>
      <w:r>
        <w:t xml:space="preserve"> </w:t>
      </w:r>
      <w:r>
        <w:t xml:space="preserve">grounded in approved source materials; apply consistent, transparent rubrics; provide</w:t>
      </w:r>
      <w:r>
        <w:t xml:space="preserve"> </w:t>
      </w:r>
      <w:r>
        <w:t xml:space="preserve">formative feedback at a scale that would otherwise be impossible; and support student</w:t>
      </w:r>
      <w:r>
        <w:t xml:space="preserve"> </w:t>
      </w:r>
      <w:r>
        <w:t xml:space="preserve">reflection and iterative improvement rather than delivering a single terminal judgment.</w:t>
      </w:r>
    </w:p>
    <w:p>
      <w:pPr>
        <w:pStyle w:val="BodyText"/>
      </w:pPr>
      <w:r>
        <w:t xml:space="preserve">The constraint that structures everything else: no AI output is final without human</w:t>
      </w:r>
      <w:r>
        <w:t xml:space="preserve"> </w:t>
      </w:r>
      <w:r>
        <w:t xml:space="preserve">confirmation. Teachers approve all assessment content. Teachers validate all evaluative</w:t>
      </w:r>
      <w:r>
        <w:t xml:space="preserve"> </w:t>
      </w:r>
      <w:r>
        <w:t xml:space="preserve">outputs. The AI proposes; the teacher decides.</w:t>
      </w:r>
    </w:p>
    <w:bookmarkEnd w:id="11"/>
    <w:bookmarkStart w:id="12" w:name="system-overview"/>
    <w:p>
      <w:pPr>
        <w:pStyle w:val="Heading1"/>
      </w:pPr>
      <w:r>
        <w:t xml:space="preserve">System Overview</w:t>
      </w:r>
    </w:p>
    <w:p>
      <w:pPr>
        <w:pStyle w:val="FirstParagraph"/>
      </w:pPr>
      <w:r>
        <w:t xml:space="preserve">Diotima supports the complete formative assessment lifecycle from initial design through</w:t>
      </w:r>
      <w:r>
        <w:t xml:space="preserve"> </w:t>
      </w:r>
      <w:r>
        <w:t xml:space="preserve">to student reflection and audit. Every stage is engineered to support explainability,</w:t>
      </w:r>
      <w:r>
        <w:t xml:space="preserve"> </w:t>
      </w:r>
      <w:r>
        <w:t xml:space="preserve">traceability, and human oversight—not as retrospective additions, but as structural</w:t>
      </w:r>
      <w:r>
        <w:t xml:space="preserve"> </w:t>
      </w:r>
      <w:r>
        <w:t xml:space="preserve">properties of the workflow itself.</w:t>
      </w:r>
    </w:p>
    <w:p>
      <w:pPr>
        <w:pStyle w:val="BodyText"/>
      </w:pPr>
      <w:r>
        <w:t xml:space="preserve">The lifecycle proceeds through seven stages: (1) curriculum-grounded assessment design,</w:t>
      </w:r>
      <w:r>
        <w:t xml:space="preserve"> </w:t>
      </w:r>
      <w:r>
        <w:t xml:space="preserve">in which teachers select topics, subtopics, and Bloom’s Taxonomy cognitive levels</w:t>
      </w:r>
      <w:r>
        <w:t xml:space="preserve"> </w:t>
      </w:r>
      <w:r>
        <w:t xml:space="preserve">(</w:t>
      </w:r>
      <w:r>
        <w:rPr>
          <w:smallCaps/>
        </w:rPr>
        <w:t xml:space="preserve">Bloom et al.</w:t>
      </w:r>
      <w:r>
        <w:t xml:space="preserve">, 1956) and the system generates candidate content from approved</w:t>
      </w:r>
      <w:r>
        <w:t xml:space="preserve"> </w:t>
      </w:r>
      <w:r>
        <w:t xml:space="preserve">source materials; (2) teacher pre-approval of every generated question, expected answer,</w:t>
      </w:r>
      <w:r>
        <w:t xml:space="preserve"> </w:t>
      </w:r>
      <w:r>
        <w:t xml:space="preserve">and rubric before any student sees it; (3) student response and optional AI pre-check,</w:t>
      </w:r>
      <w:r>
        <w:t xml:space="preserve"> </w:t>
      </w:r>
      <w:r>
        <w:t xml:space="preserve">allowing provisional analysis before final submission; (4) conditional rubric</w:t>
      </w:r>
      <w:r>
        <w:t xml:space="preserve"> </w:t>
      </w:r>
      <w:r>
        <w:t xml:space="preserve">visibility, in which students receive performance-band information after a genuine</w:t>
      </w:r>
      <w:r>
        <w:t xml:space="preserve"> </w:t>
      </w:r>
      <w:r>
        <w:t xml:space="preserve">attempt, designed to support learning without enabling gaming; (5) teacher review,</w:t>
      </w:r>
      <w:r>
        <w:t xml:space="preserve"> </w:t>
      </w:r>
      <w:r>
        <w:t xml:space="preserve">override, and finalisation, during which all AI outputs remain provisional until</w:t>
      </w:r>
      <w:r>
        <w:t xml:space="preserve"> </w:t>
      </w:r>
      <w:r>
        <w:t xml:space="preserve">confirmed by a teacher; (6) student feedback and reflection, in which final</w:t>
      </w:r>
      <w:r>
        <w:t xml:space="preserve"> </w:t>
      </w:r>
      <w:r>
        <w:t xml:space="preserve">teacher-approved feedback is delivered and students are prompted to engage with their</w:t>
      </w:r>
      <w:r>
        <w:t xml:space="preserve"> </w:t>
      </w:r>
      <w:r>
        <w:t xml:space="preserve">learning; and (7) comprehensive logging and auditability, in which every action,</w:t>
      </w:r>
      <w:r>
        <w:t xml:space="preserve"> </w:t>
      </w:r>
      <w:r>
        <w:t xml:space="preserve">inference, and decision is recorded to support traceability, incident response, and</w:t>
      </w:r>
      <w:r>
        <w:t xml:space="preserve"> </w:t>
      </w:r>
      <w:r>
        <w:t xml:space="preserve">post-market monitoring.</w:t>
      </w:r>
    </w:p>
    <w:p>
      <w:pPr>
        <w:pStyle w:val="BodyText"/>
      </w:pPr>
      <w:r>
        <w:t xml:space="preserve">These lifecycle stages do not each engage a single governance dimension in isolation.</w:t>
      </w:r>
      <w:r>
        <w:t xml:space="preserve"> </w:t>
      </w:r>
      <w:r>
        <w:t xml:space="preserve">Table 1 maps the six principal governance dimensions—addressed in Sections 5</w:t>
      </w:r>
      <w:r>
        <w:t xml:space="preserve"> </w:t>
      </w:r>
      <w:r>
        <w:t xml:space="preserve">through 10—to the lifecycle stages at which each is most directly operative.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 Stage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 Assessment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 Teacher pre-approval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 Student response / AI check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 Conditional rubric visibility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 Teacher review and finalisation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 Student feedback and reflection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 Logging and auditability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curriculum-grounding-and-risk-scoping"/>
    <w:p>
      <w:pPr>
        <w:pStyle w:val="Heading1"/>
      </w:pPr>
      <w:r>
        <w:t xml:space="preserve">Curriculum Grounding and Risk Scoping</w:t>
      </w:r>
    </w:p>
    <w:p>
      <w:pPr>
        <w:pStyle w:val="FirstParagraph"/>
      </w:pPr>
      <w:r>
        <w:rPr>
          <w:i/>
          <w:iCs/>
        </w:rPr>
        <w:t xml:space="preserve">Regulatory obligation.</w:t>
      </w:r>
      <w:r>
        <w:t xml:space="preserve">Article 9 of the EU AI Act requires high-risk AI</w:t>
      </w:r>
      <w:r>
        <w:t xml:space="preserve"> </w:t>
      </w:r>
      <w:r>
        <w:t xml:space="preserve">systems to operate within the limits of their intended purpose and to implement risk</w:t>
      </w:r>
      <w:r>
        <w:t xml:space="preserve"> </w:t>
      </w:r>
      <w:r>
        <w:t xml:space="preserve">management measures that address foreseeable misuse and failure modes. For an</w:t>
      </w:r>
      <w:r>
        <w:t xml:space="preserve"> </w:t>
      </w:r>
      <w:r>
        <w:t xml:space="preserve">educational AI system, the most direct foreseeable failure mode is the generation of</w:t>
      </w:r>
      <w:r>
        <w:t xml:space="preserve"> </w:t>
      </w:r>
      <w:r>
        <w:t xml:space="preserve">content that drifts from the curriculum—factually incorrect, pedagogically misaligned,</w:t>
      </w:r>
      <w:r>
        <w:t xml:space="preserve"> </w:t>
      </w:r>
      <w:r>
        <w:t xml:space="preserve">or ungrounded in the materials that the assessment is intended to evaluate.</w:t>
      </w:r>
    </w:p>
    <w:p>
      <w:pPr>
        <w:pStyle w:val="BodyText"/>
      </w:pPr>
      <w:r>
        <w:rPr>
          <w:i/>
          <w:iCs/>
        </w:rPr>
        <w:t xml:space="preserve">Design response.</w:t>
      </w:r>
      <w:r>
        <w:t xml:space="preserve">Diotima addresses hallucination architecturally rather</w:t>
      </w:r>
      <w:r>
        <w:t xml:space="preserve"> </w:t>
      </w:r>
      <w:r>
        <w:t xml:space="preserve">than reactively. Every AI-generated question, answer, and rubric is explicitly linked to</w:t>
      </w:r>
      <w:r>
        <w:t xml:space="preserve"> </w:t>
      </w:r>
      <w:r>
        <w:t xml:space="preserve">curriculum topics and subtopics, specified learning outcomes, Bloom’s Taxonomy cognitive</w:t>
      </w:r>
      <w:r>
        <w:t xml:space="preserve"> </w:t>
      </w:r>
      <w:r>
        <w:t xml:space="preserve">levels (</w:t>
      </w:r>
      <w:r>
        <w:rPr>
          <w:smallCaps/>
        </w:rPr>
        <w:t xml:space="preserve">Bloom et al.</w:t>
      </w:r>
      <w:r>
        <w:t xml:space="preserve">, 1956), and approved, licensed source-of-truth materials.</w:t>
      </w:r>
    </w:p>
    <w:p>
      <w:pPr>
        <w:pStyle w:val="BodyText"/>
      </w:pPr>
      <w:r>
        <w:t xml:space="preserve">This grounding serves three functions simultaneously. It prevents the model from</w:t>
      </w:r>
      <w:r>
        <w:t xml:space="preserve"> </w:t>
      </w:r>
      <w:r>
        <w:t xml:space="preserve">generating content that drifts from the curriculum. It ensures that every item can</w:t>
      </w:r>
      <w:r>
        <w:t xml:space="preserve"> </w:t>
      </w:r>
      <w:r>
        <w:t xml:space="preserve">be traced back to its source, giving teachers the visibility they need to make informed</w:t>
      </w:r>
      <w:r>
        <w:t xml:space="preserve"> </w:t>
      </w:r>
      <w:r>
        <w:t xml:space="preserve">approval decisions. And it provides a clear basis for explaining why an item exists and</w:t>
      </w:r>
      <w:r>
        <w:t xml:space="preserve"> </w:t>
      </w:r>
      <w:r>
        <w:t xml:space="preserve">what it is assessing—which is exactly what regulators and institutions require from</w:t>
      </w:r>
      <w:r>
        <w:t xml:space="preserve"> </w:t>
      </w:r>
      <w:r>
        <w:t xml:space="preserve">a high-risk system.</w:t>
      </w:r>
    </w:p>
    <w:p>
      <w:pPr>
        <w:pStyle w:val="BodyText"/>
      </w:pPr>
      <w:r>
        <w:t xml:space="preserve">A second architectural decision is the deliberate separation of high-risk components</w:t>
      </w:r>
      <w:r>
        <w:t xml:space="preserve"> </w:t>
      </w:r>
      <w:r>
        <w:t xml:space="preserve">from supporting infrastructure. Only two components are classified as high-risk: the</w:t>
      </w:r>
      <w:r>
        <w:t xml:space="preserve"> </w:t>
      </w:r>
      <w:r>
        <w:t xml:space="preserve">Question, Answer and Rubric Generation Engine, and the AI Inference and Feedback Engine.</w:t>
      </w:r>
      <w:r>
        <w:t xml:space="preserve"> </w:t>
      </w:r>
      <w:r>
        <w:t xml:space="preserve">All supporting systems—the user interfaces, workflow orchestration, data storage, and</w:t>
      </w:r>
      <w:r>
        <w:t xml:space="preserve"> </w:t>
      </w:r>
      <w:r>
        <w:t xml:space="preserve">integration components—are explicitly outside the high-risk perimeter. Narrowing the</w:t>
      </w:r>
      <w:r>
        <w:t xml:space="preserve"> </w:t>
      </w:r>
      <w:r>
        <w:t xml:space="preserve">high-risk scope reduces risk propagation, simplifies governance, and makes compliance</w:t>
      </w:r>
      <w:r>
        <w:t xml:space="preserve"> </w:t>
      </w:r>
      <w:r>
        <w:t xml:space="preserve">obligations clearer and more tractable.</w:t>
      </w:r>
    </w:p>
    <w:p>
      <w:pPr>
        <w:pStyle w:val="BodyText"/>
      </w:pPr>
      <w:r>
        <w:rPr>
          <w:i/>
          <w:iCs/>
        </w:rPr>
        <w:t xml:space="preserve">Lifecycle coverage.</w:t>
      </w:r>
      <w:r>
        <w:t xml:space="preserve">Grounding operates primarily at stages 1 and 2:</w:t>
      </w:r>
      <w:r>
        <w:t xml:space="preserve"> </w:t>
      </w:r>
      <w:r>
        <w:t xml:space="preserve">content is anchored to curriculum materials at the point of generation and verified</w:t>
      </w:r>
      <w:r>
        <w:t xml:space="preserve"> </w:t>
      </w:r>
      <w:r>
        <w:t xml:space="preserve">against those materials during teacher pre-approval.</w:t>
      </w:r>
    </w:p>
    <w:bookmarkEnd w:id="13"/>
    <w:bookmarkStart w:id="14" w:name="human-oversight"/>
    <w:p>
      <w:pPr>
        <w:pStyle w:val="Heading1"/>
      </w:pPr>
      <w:r>
        <w:t xml:space="preserve">Human Oversight</w:t>
      </w:r>
    </w:p>
    <w:p>
      <w:pPr>
        <w:pStyle w:val="FirstParagraph"/>
      </w:pPr>
      <w:r>
        <w:rPr>
          <w:i/>
          <w:iCs/>
        </w:rPr>
        <w:t xml:space="preserve">Regulatory obligation.</w:t>
      </w:r>
      <w:r>
        <w:t xml:space="preserve">Article 14 of the EU AI Act requires high-risk AI</w:t>
      </w:r>
      <w:r>
        <w:t xml:space="preserve"> </w:t>
      </w:r>
      <w:r>
        <w:t xml:space="preserve">systems to be designed and developed so that they can be effectively overseen by natural</w:t>
      </w:r>
      <w:r>
        <w:t xml:space="preserve"> </w:t>
      </w:r>
      <w:r>
        <w:t xml:space="preserve">persons during their use. The obligation extends to enabling oversight persons to</w:t>
      </w:r>
      <w:r>
        <w:t xml:space="preserve"> </w:t>
      </w:r>
      <w:r>
        <w:t xml:space="preserve">understand the system’s capabilities and limitations, to detect and address failures,</w:t>
      </w:r>
      <w:r>
        <w:t xml:space="preserve"> </w:t>
      </w:r>
      <w:r>
        <w:t xml:space="preserve">and to intervene on, override, or halt the system’s operation.</w:t>
      </w:r>
    </w:p>
    <w:p>
      <w:pPr>
        <w:pStyle w:val="BodyText"/>
      </w:pPr>
      <w:r>
        <w:rPr>
          <w:i/>
          <w:iCs/>
        </w:rPr>
        <w:t xml:space="preserve">Design response.</w:t>
      </w:r>
      <w:r>
        <w:t xml:space="preserve">In most implementations, Article 14 compliance ends up</w:t>
      </w:r>
      <w:r>
        <w:t xml:space="preserve"> </w:t>
      </w:r>
      <w:r>
        <w:t xml:space="preserve">as a policy statement—a layer of documentation applied over an architecture that was</w:t>
      </w:r>
      <w:r>
        <w:t xml:space="preserve"> </w:t>
      </w:r>
      <w:r>
        <w:t xml:space="preserve">not designed with oversight in mind. Diotima takes a different approach. Human oversight</w:t>
      </w:r>
      <w:r>
        <w:t xml:space="preserve"> </w:t>
      </w:r>
      <w:r>
        <w:t xml:space="preserve">is not declared; it is enforced by the workflow itself.</w:t>
      </w:r>
    </w:p>
    <w:p>
      <w:pPr>
        <w:pStyle w:val="BodyText"/>
      </w:pPr>
      <w:r>
        <w:t xml:space="preserve">The structural properties are: teachers must approve every generated assessment item</w:t>
      </w:r>
      <w:r>
        <w:t xml:space="preserve"> </w:t>
      </w:r>
      <w:r>
        <w:t xml:space="preserve">before it reaches students; AI rubric placements are always provisional and are never</w:t>
      </w:r>
      <w:r>
        <w:t xml:space="preserve"> </w:t>
      </w:r>
      <w:r>
        <w:t xml:space="preserve">presented as final; teachers can accept, edit, override, or entirely replace any AI</w:t>
      </w:r>
      <w:r>
        <w:t xml:space="preserve"> </w:t>
      </w:r>
      <w:r>
        <w:t xml:space="preserve">output at any stage; and only teacher-confirmed results are stored as the authoritative</w:t>
      </w:r>
      <w:r>
        <w:t xml:space="preserve"> </w:t>
      </w:r>
      <w:r>
        <w:t xml:space="preserve">record. Students never receive AI-generated feedback that a teacher has not reviewed.</w:t>
      </w:r>
      <w:r>
        <w:t xml:space="preserve"> </w:t>
      </w:r>
      <w:r>
        <w:t xml:space="preserve">That is not a policy aspiration—it is a technical constraint embedded in the system.</w:t>
      </w:r>
    </w:p>
    <w:p>
      <w:pPr>
        <w:pStyle w:val="BodyText"/>
      </w:pPr>
      <w:r>
        <w:t xml:space="preserve">The consequences of this design are significant. Professional autonomy is preserved.</w:t>
      </w:r>
      <w:r>
        <w:t xml:space="preserve"> </w:t>
      </w:r>
      <w:r>
        <w:t xml:space="preserve">The structural risk of over-reliance on AI outputs is prevented rather than mitigated</w:t>
      </w:r>
      <w:r>
        <w:t xml:space="preserve"> </w:t>
      </w:r>
      <w:r>
        <w:t xml:space="preserve">after the fact. And accountability stays where it belongs—with the human professional,</w:t>
      </w:r>
      <w:r>
        <w:t xml:space="preserve"> </w:t>
      </w:r>
      <w:r>
        <w:t xml:space="preserve">not the algorithm.</w:t>
      </w:r>
    </w:p>
    <w:p>
      <w:pPr>
        <w:pStyle w:val="BodyText"/>
      </w:pPr>
      <w:r>
        <w:rPr>
          <w:i/>
          <w:iCs/>
        </w:rPr>
        <w:t xml:space="preserve">Lifecycle coverage.</w:t>
      </w:r>
      <w:r>
        <w:t xml:space="preserve">Human oversight is operative primarily at stages 2</w:t>
      </w:r>
      <w:r>
        <w:t xml:space="preserve"> </w:t>
      </w:r>
      <w:r>
        <w:t xml:space="preserve">and 5: the pre-approval checkpoint before content reaches students, and the review and</w:t>
      </w:r>
      <w:r>
        <w:t xml:space="preserve"> </w:t>
      </w:r>
      <w:r>
        <w:t xml:space="preserve">finalisation stage before feedback is delivered.</w:t>
      </w:r>
    </w:p>
    <w:bookmarkEnd w:id="14"/>
    <w:bookmarkStart w:id="15" w:name="role-differentiated-explainability"/>
    <w:p>
      <w:pPr>
        <w:pStyle w:val="Heading1"/>
      </w:pPr>
      <w:r>
        <w:t xml:space="preserve">Role-Differentiated Explainability</w:t>
      </w:r>
    </w:p>
    <w:p>
      <w:pPr>
        <w:pStyle w:val="FirstParagraph"/>
      </w:pPr>
      <w:r>
        <w:rPr>
          <w:i/>
          <w:iCs/>
        </w:rPr>
        <w:t xml:space="preserve">Regulatory obligation.</w:t>
      </w:r>
      <w:r>
        <w:t xml:space="preserve">Article 13 of the EU AI Act requires high-risk AI</w:t>
      </w:r>
      <w:r>
        <w:t xml:space="preserve"> </w:t>
      </w:r>
      <w:r>
        <w:t xml:space="preserve">systems to be sufficiently transparent that users can interpret the system’s outputs and</w:t>
      </w:r>
      <w:r>
        <w:t xml:space="preserve"> </w:t>
      </w:r>
      <w:r>
        <w:t xml:space="preserve">use them appropriately. Transparency obligations extend both to the users operating the</w:t>
      </w:r>
      <w:r>
        <w:t xml:space="preserve"> </w:t>
      </w:r>
      <w:r>
        <w:t xml:space="preserve">system—in this case, teachers—and, where relevant, to the persons affected by its</w:t>
      </w:r>
      <w:r>
        <w:t xml:space="preserve"> </w:t>
      </w:r>
      <w:r>
        <w:t xml:space="preserve">outputs—in this case, students.</w:t>
      </w:r>
    </w:p>
    <w:p>
      <w:pPr>
        <w:pStyle w:val="BodyText"/>
      </w:pPr>
      <w:r>
        <w:rPr>
          <w:i/>
          <w:iCs/>
        </w:rPr>
        <w:t xml:space="preserve">Design response.</w:t>
      </w:r>
      <w:r>
        <w:t xml:space="preserve">Explainability in Diotima is differentiated by role and</w:t>
      </w:r>
      <w:r>
        <w:t xml:space="preserve"> </w:t>
      </w:r>
      <w:r>
        <w:t xml:space="preserve">context, because what a teacher needs to understand is not the same as what a student</w:t>
      </w:r>
      <w:r>
        <w:t xml:space="preserve"> </w:t>
      </w:r>
      <w:r>
        <w:t xml:space="preserve">needs to understand, and the risks of over-transparency and under-transparency differ</w:t>
      </w:r>
      <w:r>
        <w:t xml:space="preserve"> </w:t>
      </w:r>
      <w:r>
        <w:t xml:space="preserve">for each.</w:t>
      </w:r>
    </w:p>
    <w:p>
      <w:pPr>
        <w:pStyle w:val="BodyText"/>
      </w:pPr>
      <w:r>
        <w:t xml:space="preserve">For teachers, the system provides full visibility into the rubric, the source text from</w:t>
      </w:r>
      <w:r>
        <w:t xml:space="preserve"> </w:t>
      </w:r>
      <w:r>
        <w:t xml:space="preserve">which assessment content was derived, and the AI’s reasoning context. Every output can</w:t>
      </w:r>
      <w:r>
        <w:t xml:space="preserve"> </w:t>
      </w:r>
      <w:r>
        <w:t xml:space="preserve">be traced back to the curriculum materials that grounded it. The pattern of rejection</w:t>
      </w:r>
      <w:r>
        <w:t xml:space="preserve"> </w:t>
      </w:r>
      <w:r>
        <w:t xml:space="preserve">reasons and overrides constitutes an ongoing signal about model performance—a</w:t>
      </w:r>
      <w:r>
        <w:t xml:space="preserve"> </w:t>
      </w:r>
      <w:r>
        <w:t xml:space="preserve">practical feedback loop that informs model governance decisions.</w:t>
      </w:r>
    </w:p>
    <w:p>
      <w:pPr>
        <w:pStyle w:val="BodyText"/>
      </w:pPr>
      <w:r>
        <w:t xml:space="preserve">For students, the explainability design is more deliberate. Rubric information is</w:t>
      </w:r>
      <w:r>
        <w:t xml:space="preserve"> </w:t>
      </w:r>
      <w:r>
        <w:t xml:space="preserve">revealed conditionally and progressively: students see performance bands after a</w:t>
      </w:r>
      <w:r>
        <w:t xml:space="preserve"> </w:t>
      </w:r>
      <w:r>
        <w:t xml:space="preserve">genuine attempt, not upfront. Full criteria are not disclosed in advance. This supports</w:t>
      </w:r>
      <w:r>
        <w:t xml:space="preserve"> </w:t>
      </w:r>
      <w:r>
        <w:t xml:space="preserve">transparency about how responses are being interpreted while preserving the pedagogical</w:t>
      </w:r>
      <w:r>
        <w:t xml:space="preserve"> </w:t>
      </w:r>
      <w:r>
        <w:t xml:space="preserve">integrity of the assessment, and it orients feedback toward improvement and next steps</w:t>
      </w:r>
      <w:r>
        <w:t xml:space="preserve"> </w:t>
      </w:r>
      <w:r>
        <w:t xml:space="preserve">rather than terminal judgment.</w:t>
      </w:r>
    </w:p>
    <w:p>
      <w:pPr>
        <w:pStyle w:val="BodyText"/>
      </w:pPr>
      <w:r>
        <w:rPr>
          <w:i/>
          <w:iCs/>
        </w:rPr>
        <w:t xml:space="preserve">Lifecycle coverage.</w:t>
      </w:r>
      <w:r>
        <w:t xml:space="preserve">Explainability is operative at stages 2, 4, 5, and 6:</w:t>
      </w:r>
      <w:r>
        <w:t xml:space="preserve"> </w:t>
      </w:r>
      <w:r>
        <w:t xml:space="preserve">during teacher pre-approval, at the conditional rubric visibility stage, during teacher</w:t>
      </w:r>
      <w:r>
        <w:t xml:space="preserve"> </w:t>
      </w:r>
      <w:r>
        <w:t xml:space="preserve">review, and when feedback is delivered to students.</w:t>
      </w:r>
    </w:p>
    <w:bookmarkEnd w:id="15"/>
    <w:bookmarkStart w:id="16" w:name="model-governance"/>
    <w:p>
      <w:pPr>
        <w:pStyle w:val="Heading1"/>
      </w:pPr>
      <w:r>
        <w:t xml:space="preserve">Model Governance</w:t>
      </w:r>
    </w:p>
    <w:p>
      <w:pPr>
        <w:pStyle w:val="FirstParagraph"/>
      </w:pPr>
      <w:r>
        <w:rPr>
          <w:i/>
          <w:iCs/>
        </w:rPr>
        <w:t xml:space="preserve">Regulatory obligation.</w:t>
      </w:r>
      <w:r>
        <w:t xml:space="preserve">Article 9 of the EU AI Act requires high-risk AI</w:t>
      </w:r>
      <w:r>
        <w:t xml:space="preserve"> </w:t>
      </w:r>
      <w:r>
        <w:t xml:space="preserve">providers to implement risk management measures throughout the system lifecycle,</w:t>
      </w:r>
      <w:r>
        <w:t xml:space="preserve"> </w:t>
      </w:r>
      <w:r>
        <w:t xml:space="preserve">including identification and analysis of known and foreseeable risks, and estimation</w:t>
      </w:r>
      <w:r>
        <w:t xml:space="preserve"> </w:t>
      </w:r>
      <w:r>
        <w:t xml:space="preserve">and evaluation of risks that may emerge from actual use. For systems using third-party</w:t>
      </w:r>
      <w:r>
        <w:t xml:space="preserve"> </w:t>
      </w:r>
      <w:r>
        <w:t xml:space="preserve">foundation models, this obligation extends to the selection, evaluation, and ongoing</w:t>
      </w:r>
      <w:r>
        <w:t xml:space="preserve"> </w:t>
      </w:r>
      <w:r>
        <w:t xml:space="preserve">monitoring of those models.</w:t>
      </w:r>
    </w:p>
    <w:p>
      <w:pPr>
        <w:pStyle w:val="BodyText"/>
      </w:pPr>
      <w:r>
        <w:rPr>
          <w:i/>
          <w:iCs/>
        </w:rPr>
        <w:t xml:space="preserve">Design response.</w:t>
      </w:r>
      <w:r>
        <w:t xml:space="preserve">Diotima uses third-party pretrained foundation models</w:t>
      </w:r>
      <w:r>
        <w:t xml:space="preserve"> </w:t>
      </w:r>
      <w:r>
        <w:t xml:space="preserve">rather than training its own. That is a deliberate and defensible choice—but it does</w:t>
      </w:r>
      <w:r>
        <w:t xml:space="preserve"> </w:t>
      </w:r>
      <w:r>
        <w:t xml:space="preserve">not mean model selection is a technical decision. In Diotima, model choice is treated</w:t>
      </w:r>
      <w:r>
        <w:t xml:space="preserve"> </w:t>
      </w:r>
      <w:r>
        <w:t xml:space="preserve">as a governance decision.</w:t>
      </w:r>
    </w:p>
    <w:p>
      <w:pPr>
        <w:pStyle w:val="BodyText"/>
      </w:pPr>
      <w:r>
        <w:t xml:space="preserve">Models are evaluated and selected against a structured benchmark suite. Knowledge and</w:t>
      </w:r>
      <w:r>
        <w:t xml:space="preserve"> </w:t>
      </w:r>
      <w:r>
        <w:t xml:space="preserve">reasoning capabilities are assessed using the Massive Multitask Language Understanding</w:t>
      </w:r>
      <w:r>
        <w:t xml:space="preserve"> </w:t>
      </w:r>
      <w:r>
        <w:t xml:space="preserve">benchmark (MMLU;</w:t>
      </w:r>
      <w:r>
        <w:t xml:space="preserve"> </w:t>
      </w:r>
      <w:r>
        <w:rPr>
          <w:smallCaps/>
        </w:rPr>
        <w:t xml:space="preserve">Hendrycks et al.</w:t>
      </w:r>
      <w:r>
        <w:t xml:space="preserve">, 2021a)—a 57-subject evaluation spanning</w:t>
      </w:r>
      <w:r>
        <w:t xml:space="preserve"> </w:t>
      </w:r>
      <w:r>
        <w:t xml:space="preserve">STEM, humanities, and professional domains—and the Graduate-Level Google-Proof Q&amp;A</w:t>
      </w:r>
      <w:r>
        <w:t xml:space="preserve"> </w:t>
      </w:r>
      <w:r>
        <w:t xml:space="preserve">benchmark (GPQA;</w:t>
      </w:r>
      <w:r>
        <w:t xml:space="preserve"> </w:t>
      </w:r>
      <w:r>
        <w:rPr>
          <w:smallCaps/>
        </w:rPr>
        <w:t xml:space="preserve">Rein et al.</w:t>
      </w:r>
      <w:r>
        <w:t xml:space="preserve">, 2023), which tests expert-level reasoning across</w:t>
      </w:r>
      <w:r>
        <w:t xml:space="preserve"> </w:t>
      </w:r>
      <w:r>
        <w:t xml:space="preserve">biology, chemistry, and physics. Factual accuracy and hallucination propensity are</w:t>
      </w:r>
      <w:r>
        <w:t xml:space="preserve"> </w:t>
      </w:r>
      <w:r>
        <w:t xml:space="preserve">evaluated using LongFact (</w:t>
      </w:r>
      <w:r>
        <w:rPr>
          <w:smallCaps/>
        </w:rPr>
        <w:t xml:space="preserve">Wei et al.</w:t>
      </w:r>
      <w:r>
        <w:t xml:space="preserve">, 2024), which probes the reliability of</w:t>
      </w:r>
      <w:r>
        <w:t xml:space="preserve"> </w:t>
      </w:r>
      <w:r>
        <w:t xml:space="preserve">long-form factual claims across a wide range of topics. Instruction-following behaviour</w:t>
      </w:r>
      <w:r>
        <w:t xml:space="preserve"> </w:t>
      </w:r>
      <w:r>
        <w:t xml:space="preserve">is assessed using the Instruction Following Evaluation benchmark (IFEval;</w:t>
      </w:r>
      <w:r>
        <w:t xml:space="preserve"> </w:t>
      </w:r>
      <w:r>
        <w:rPr>
          <w:smallCaps/>
        </w:rPr>
        <w:t xml:space="preserve">Zhou et al.</w:t>
      </w:r>
      <w:r>
        <w:t xml:space="preserve">, 2023), a verifiable evaluation of adherence to structured natural</w:t>
      </w:r>
      <w:r>
        <w:t xml:space="preserve"> </w:t>
      </w:r>
      <w:r>
        <w:t xml:space="preserve">language instructions. Bias and fairness are assessed using the Bias Benchmark for</w:t>
      </w:r>
      <w:r>
        <w:t xml:space="preserve"> </w:t>
      </w:r>
      <w:r>
        <w:t xml:space="preserve">Question Answering (BBQ;</w:t>
      </w:r>
      <w:r>
        <w:t xml:space="preserve"> </w:t>
      </w:r>
      <w:r>
        <w:rPr>
          <w:smallCaps/>
        </w:rPr>
        <w:t xml:space="preserve">Parrish et al.</w:t>
      </w:r>
      <w:r>
        <w:t xml:space="preserve">, 2022), a hand-built benchmark</w:t>
      </w:r>
      <w:r>
        <w:t xml:space="preserve"> </w:t>
      </w:r>
      <w:r>
        <w:t xml:space="preserve">targeting question-answering behaviour across nine social dimensions including age,</w:t>
      </w:r>
      <w:r>
        <w:t xml:space="preserve"> </w:t>
      </w:r>
      <w:r>
        <w:t xml:space="preserve">gender, and race. Toxicity and safety are assessed using RealToxicityPrompts</w:t>
      </w:r>
      <w:r>
        <w:t xml:space="preserve"> </w:t>
      </w:r>
      <w:r>
        <w:t xml:space="preserve">(</w:t>
      </w:r>
      <w:r>
        <w:rPr>
          <w:smallCaps/>
        </w:rPr>
        <w:t xml:space="preserve">Gehman et al.</w:t>
      </w:r>
      <w:r>
        <w:t xml:space="preserve">, 2020), which evaluates the tendency of models to produce</w:t>
      </w:r>
      <w:r>
        <w:t xml:space="preserve"> </w:t>
      </w:r>
      <w:r>
        <w:t xml:space="preserve">harmful content across a corpus of naturally occurring prompts, and SimpleSafetyTests</w:t>
      </w:r>
      <w:r>
        <w:t xml:space="preserve"> </w:t>
      </w:r>
      <w:r>
        <w:t xml:space="preserve">(</w:t>
      </w:r>
      <w:r>
        <w:rPr>
          <w:smallCaps/>
        </w:rPr>
        <w:t xml:space="preserve">Vidgen et al.</w:t>
      </w:r>
      <w:r>
        <w:t xml:space="preserve">, 2023), a test suite of prompts spanning five harm areas</w:t>
      </w:r>
      <w:r>
        <w:t xml:space="preserve"> </w:t>
      </w:r>
      <w:r>
        <w:t xml:space="preserve">designed to identify critical safety risks such as unsafe advice and toxic content</w:t>
      </w:r>
      <w:r>
        <w:t xml:space="preserve"> </w:t>
      </w:r>
      <w:r>
        <w:t xml:space="preserve">generation.</w:t>
      </w:r>
    </w:p>
    <w:p>
      <w:pPr>
        <w:pStyle w:val="BodyText"/>
      </w:pPr>
      <w:r>
        <w:t xml:space="preserve">No student data is used for model training at any stage. Model versions are logged</w:t>
      </w:r>
      <w:r>
        <w:t xml:space="preserve"> </w:t>
      </w:r>
      <w:r>
        <w:t xml:space="preserve">with every inference, creating the audit trail needed for incident investigation,</w:t>
      </w:r>
      <w:r>
        <w:t xml:space="preserve"> </w:t>
      </w:r>
      <w:r>
        <w:t xml:space="preserve">drift detection, and post-market monitoring. This approach enables evidence-based</w:t>
      </w:r>
      <w:r>
        <w:t xml:space="preserve"> </w:t>
      </w:r>
      <w:r>
        <w:t xml:space="preserve">model selection, ongoing comparison as new models emerge, and safe substitution of</w:t>
      </w:r>
      <w:r>
        <w:t xml:space="preserve"> </w:t>
      </w:r>
      <w:r>
        <w:t xml:space="preserve">model versions without architectural change.</w:t>
      </w:r>
    </w:p>
    <w:p>
      <w:pPr>
        <w:pStyle w:val="BodyText"/>
      </w:pPr>
      <w:r>
        <w:rPr>
          <w:i/>
          <w:iCs/>
        </w:rPr>
        <w:t xml:space="preserve">Lifecycle coverage.</w:t>
      </w:r>
      <w:r>
        <w:t xml:space="preserve">Model governance is operative at stages 1, 3,</w:t>
      </w:r>
      <w:r>
        <w:t xml:space="preserve"> </w:t>
      </w:r>
      <w:r>
        <w:t xml:space="preserve">and 7: model selection determines what is generated at the design stage; model</w:t>
      </w:r>
      <w:r>
        <w:t xml:space="preserve"> </w:t>
      </w:r>
      <w:r>
        <w:t xml:space="preserve">inference is used during the student response and AI pre-check stage; and model</w:t>
      </w:r>
      <w:r>
        <w:t xml:space="preserve"> </w:t>
      </w:r>
      <w:r>
        <w:t xml:space="preserve">version logging at stage 7 supports post-market monitoring.</w:t>
      </w:r>
    </w:p>
    <w:bookmarkEnd w:id="16"/>
    <w:bookmarkStart w:id="17" w:name="data-governance"/>
    <w:p>
      <w:pPr>
        <w:pStyle w:val="Heading1"/>
      </w:pPr>
      <w:r>
        <w:t xml:space="preserve">Data Governance</w:t>
      </w:r>
    </w:p>
    <w:p>
      <w:pPr>
        <w:pStyle w:val="FirstParagraph"/>
      </w:pPr>
      <w:r>
        <w:rPr>
          <w:i/>
          <w:iCs/>
        </w:rPr>
        <w:t xml:space="preserve">Regulatory obligation.</w:t>
      </w:r>
      <w:r>
        <w:t xml:space="preserve">Article 10 of the EU AI Act requires high-risk AI</w:t>
      </w:r>
      <w:r>
        <w:t xml:space="preserve"> </w:t>
      </w:r>
      <w:r>
        <w:t xml:space="preserve">systems to be trained, validated, and tested on data that meets quality criteria</w:t>
      </w:r>
      <w:r>
        <w:t xml:space="preserve"> </w:t>
      </w:r>
      <w:r>
        <w:t xml:space="preserve">including relevance, representativeness, and freedom from errors and bias. More broadly,</w:t>
      </w:r>
      <w:r>
        <w:t xml:space="preserve"> </w:t>
      </w:r>
      <w:r>
        <w:t xml:space="preserve">data governance for systems processing personal data must be compatible with applicable</w:t>
      </w:r>
      <w:r>
        <w:t xml:space="preserve"> </w:t>
      </w:r>
      <w:r>
        <w:t xml:space="preserve">data protection law, including the General Data Protection Regulation (GDPR). For</w:t>
      </w:r>
      <w:r>
        <w:t xml:space="preserve"> </w:t>
      </w:r>
      <w:r>
        <w:t xml:space="preserve">educational AI systems processing student data—a category that warrants particular</w:t>
      </w:r>
      <w:r>
        <w:t xml:space="preserve"> </w:t>
      </w:r>
      <w:r>
        <w:t xml:space="preserve">care given the vulnerability of the population—data minimisation and purpose</w:t>
      </w:r>
      <w:r>
        <w:t xml:space="preserve"> </w:t>
      </w:r>
      <w:r>
        <w:t xml:space="preserve">limitation are foundational requirements.</w:t>
      </w:r>
    </w:p>
    <w:p>
      <w:pPr>
        <w:pStyle w:val="BodyText"/>
      </w:pPr>
      <w:r>
        <w:rPr>
          <w:i/>
          <w:iCs/>
        </w:rPr>
        <w:t xml:space="preserve">Design response.</w:t>
      </w:r>
      <w:r>
        <w:t xml:space="preserve">Data minimisation is a foundational principle in</w:t>
      </w:r>
      <w:r>
        <w:t xml:space="preserve"> </w:t>
      </w:r>
      <w:r>
        <w:t xml:space="preserve">Diotima’s design. The system processes only what is necessary: student responses,</w:t>
      </w:r>
      <w:r>
        <w:t xml:space="preserve"> </w:t>
      </w:r>
      <w:r>
        <w:t xml:space="preserve">assessment configuration, and the metadata required to deliver formative feedback and</w:t>
      </w:r>
      <w:r>
        <w:t xml:space="preserve"> </w:t>
      </w:r>
      <w:r>
        <w:t xml:space="preserve">support audit. There is no collection of sensitive personal categories, no behavioural</w:t>
      </w:r>
      <w:r>
        <w:t xml:space="preserve"> </w:t>
      </w:r>
      <w:r>
        <w:t xml:space="preserve">profiling, and no use of student data to fine-tune or retrain the underlying models.</w:t>
      </w:r>
    </w:p>
    <w:p>
      <w:pPr>
        <w:pStyle w:val="BodyText"/>
      </w:pPr>
      <w:r>
        <w:t xml:space="preserve">Retention limits are defined and aligned with institutional Data Protection Impact</w:t>
      </w:r>
      <w:r>
        <w:t xml:space="preserve"> </w:t>
      </w:r>
      <w:r>
        <w:t xml:space="preserve">Assessment (DPIA) requirements. Educational content—curriculum documents, licensed</w:t>
      </w:r>
      <w:r>
        <w:t xml:space="preserve"> </w:t>
      </w:r>
      <w:r>
        <w:t xml:space="preserve">textbooks, and approved source materials—is managed under explicit publisher</w:t>
      </w:r>
      <w:r>
        <w:t xml:space="preserve"> </w:t>
      </w:r>
      <w:r>
        <w:t xml:space="preserve">agreements covering storage, processing, and derivative use within the scope of</w:t>
      </w:r>
      <w:r>
        <w:t xml:space="preserve"> </w:t>
      </w:r>
      <w:r>
        <w:t xml:space="preserve">Diotima’s purpose.</w:t>
      </w:r>
    </w:p>
    <w:p>
      <w:pPr>
        <w:pStyle w:val="BodyText"/>
      </w:pPr>
      <w:r>
        <w:t xml:space="preserve">The effect is a data governance posture that protects every stakeholder simultaneously:</w:t>
      </w:r>
      <w:r>
        <w:t xml:space="preserve"> </w:t>
      </w:r>
      <w:r>
        <w:t xml:space="preserve">students, whose assessment data is not repurposed; teachers, whose professional actions</w:t>
      </w:r>
      <w:r>
        <w:t xml:space="preserve"> </w:t>
      </w:r>
      <w:r>
        <w:t xml:space="preserve">are logged for audit but not exposed inappropriately; publishers, whose content is</w:t>
      </w:r>
      <w:r>
        <w:t xml:space="preserve"> </w:t>
      </w:r>
      <w:r>
        <w:t xml:space="preserve">used under clear and documented licence; and institutions, whose DPIA obligations are</w:t>
      </w:r>
      <w:r>
        <w:t xml:space="preserve"> </w:t>
      </w:r>
      <w:r>
        <w:t xml:space="preserve">supported rather than complicated by the platform.</w:t>
      </w:r>
    </w:p>
    <w:p>
      <w:pPr>
        <w:pStyle w:val="BodyText"/>
      </w:pPr>
      <w:r>
        <w:rPr>
          <w:i/>
          <w:iCs/>
        </w:rPr>
        <w:t xml:space="preserve">Lifecycle coverage.</w:t>
      </w:r>
      <w:r>
        <w:t xml:space="preserve">Data governance is operative at stages 1, 3, 6,</w:t>
      </w:r>
      <w:r>
        <w:t xml:space="preserve"> </w:t>
      </w:r>
      <w:r>
        <w:t xml:space="preserve">and 7: at the point of accessing source materials, when processing student responses,</w:t>
      </w:r>
      <w:r>
        <w:t xml:space="preserve"> </w:t>
      </w:r>
      <w:r>
        <w:t xml:space="preserve">when delivering and storing feedback, and at the comprehensive logging stage.</w:t>
      </w:r>
    </w:p>
    <w:bookmarkEnd w:id="17"/>
    <w:bookmarkStart w:id="18" w:name="post-market-monitoring"/>
    <w:p>
      <w:pPr>
        <w:pStyle w:val="Heading1"/>
      </w:pPr>
      <w:r>
        <w:t xml:space="preserve">Post-Market Monitoring</w:t>
      </w:r>
    </w:p>
    <w:p>
      <w:pPr>
        <w:pStyle w:val="FirstParagraph"/>
      </w:pPr>
      <w:r>
        <w:rPr>
          <w:i/>
          <w:iCs/>
        </w:rPr>
        <w:t xml:space="preserve">Regulatory obligation.</w:t>
      </w:r>
      <w:r>
        <w:t xml:space="preserve">Article 72 of the EU AI Act requires providers of</w:t>
      </w:r>
      <w:r>
        <w:t xml:space="preserve"> </w:t>
      </w:r>
      <w:r>
        <w:t xml:space="preserve">high-risk AI systems to establish and document a post-market monitoring system that</w:t>
      </w:r>
      <w:r>
        <w:t xml:space="preserve"> </w:t>
      </w:r>
      <w:r>
        <w:t xml:space="preserve">actively collects and analyses data on the system’s performance throughout its</w:t>
      </w:r>
      <w:r>
        <w:t xml:space="preserve"> </w:t>
      </w:r>
      <w:r>
        <w:t xml:space="preserve">operational lifetime. Post-market monitoring is a legal obligation, not a discretionary</w:t>
      </w:r>
      <w:r>
        <w:t xml:space="preserve"> </w:t>
      </w:r>
      <w:r>
        <w:t xml:space="preserve">quality measure—and it is where many AI governance frameworks, in practice, fail to</w:t>
      </w:r>
      <w:r>
        <w:t xml:space="preserve"> </w:t>
      </w:r>
      <w:r>
        <w:t xml:space="preserve">deliver on their stated commitments.</w:t>
      </w:r>
    </w:p>
    <w:p>
      <w:pPr>
        <w:pStyle w:val="BodyText"/>
      </w:pPr>
      <w:r>
        <w:rPr>
          <w:i/>
          <w:iCs/>
        </w:rPr>
        <w:t xml:space="preserve">Design response.</w:t>
      </w:r>
      <w:r>
        <w:t xml:space="preserve">Diotima embeds post-market monitoring from day one as an</w:t>
      </w:r>
      <w:r>
        <w:t xml:space="preserve"> </w:t>
      </w:r>
      <w:r>
        <w:t xml:space="preserve">operational discipline rather than an afterthought.</w:t>
      </w:r>
    </w:p>
    <w:p>
      <w:pPr>
        <w:pStyle w:val="BodyText"/>
      </w:pPr>
      <w:r>
        <w:t xml:space="preserve">Models are regularly re-evaluated against the benchmark suite to detect drift and</w:t>
      </w:r>
      <w:r>
        <w:t xml:space="preserve"> </w:t>
      </w:r>
      <w:r>
        <w:t xml:space="preserve">performance degradation. Anomaly detection flags distribution shifts in AI outputs</w:t>
      </w:r>
      <w:r>
        <w:t xml:space="preserve"> </w:t>
      </w:r>
      <w:r>
        <w:t xml:space="preserve">before they reach users. Teachers have structured channels to report harmful or</w:t>
      </w:r>
      <w:r>
        <w:t xml:space="preserve"> </w:t>
      </w:r>
      <w:r>
        <w:t xml:space="preserve">incorrect outputs, with time-bound remediation workflows. The system is designed for</w:t>
      </w:r>
      <w:r>
        <w:t xml:space="preserve"> </w:t>
      </w:r>
      <w:r>
        <w:t xml:space="preserve">registration in the EU high-risk AI database, with version update processes in place.</w:t>
      </w:r>
    </w:p>
    <w:p>
      <w:pPr>
        <w:pStyle w:val="BodyText"/>
      </w:pPr>
      <w:r>
        <w:t xml:space="preserve">The teacher approval and rejection workflow provides a continuous signal about model</w:t>
      </w:r>
      <w:r>
        <w:t xml:space="preserve"> </w:t>
      </w:r>
      <w:r>
        <w:t xml:space="preserve">performance in real educational contexts. Rejection reasons and override patterns are</w:t>
      </w:r>
      <w:r>
        <w:t xml:space="preserve"> </w:t>
      </w:r>
      <w:r>
        <w:t xml:space="preserve">reviewed by human governance personnel and manually entered into the risk register and</w:t>
      </w:r>
      <w:r>
        <w:t xml:space="preserve"> </w:t>
      </w:r>
      <w:r>
        <w:t xml:space="preserve">model governance process—a structured feedback loop grounded in actual pedagogical</w:t>
      </w:r>
      <w:r>
        <w:t xml:space="preserve"> </w:t>
      </w:r>
      <w:r>
        <w:t xml:space="preserve">use rather than synthetic evaluation. The system is designed so that this evidence of</w:t>
      </w:r>
      <w:r>
        <w:t xml:space="preserve"> </w:t>
      </w:r>
      <w:r>
        <w:t xml:space="preserve">safe operation is generated as a byproduct of normal workflow rather than requiring</w:t>
      </w:r>
      <w:r>
        <w:t xml:space="preserve"> </w:t>
      </w:r>
      <w:r>
        <w:t xml:space="preserve">separate data collection.</w:t>
      </w:r>
    </w:p>
    <w:p>
      <w:pPr>
        <w:pStyle w:val="BodyText"/>
      </w:pPr>
      <w:r>
        <w:rPr>
          <w:i/>
          <w:iCs/>
        </w:rPr>
        <w:t xml:space="preserve">Lifecycle coverage.</w:t>
      </w:r>
      <w:r>
        <w:t xml:space="preserve">Post-market monitoring is operative principally at</w:t>
      </w:r>
      <w:r>
        <w:t xml:space="preserve"> </w:t>
      </w:r>
      <w:r>
        <w:t xml:space="preserve">stage 7, where comprehensive logging creates the data infrastructure for ongoing</w:t>
      </w:r>
      <w:r>
        <w:t xml:space="preserve"> </w:t>
      </w:r>
      <w:r>
        <w:t xml:space="preserve">monitoring, but it is also informed continuously by teacher actions at stages 2 and 5.</w:t>
      </w:r>
    </w:p>
    <w:bookmarkEnd w:id="18"/>
    <w:bookmarkStart w:id="19" w:name="X3cb930b9032d391e4715cebbce384986fb67ef5"/>
    <w:p>
      <w:pPr>
        <w:pStyle w:val="Heading1"/>
      </w:pPr>
      <w:r>
        <w:t xml:space="preserve">Compliance-by-Design and the Path to Adoption</w:t>
      </w:r>
    </w:p>
    <w:p>
      <w:pPr>
        <w:pStyle w:val="FirstParagraph"/>
      </w:pPr>
      <w:r>
        <w:t xml:space="preserve">The EU AI Act’s entry into force marks a structural shift in the conditions for market</w:t>
      </w:r>
      <w:r>
        <w:t xml:space="preserve"> </w:t>
      </w:r>
      <w:r>
        <w:t xml:space="preserve">participation in educational technology. The obligations imposed by Annex III—relating</w:t>
      </w:r>
      <w:r>
        <w:t xml:space="preserve"> </w:t>
      </w:r>
      <w:r>
        <w:t xml:space="preserve">to human oversight, transparency, data governance, model evaluation, and post-market</w:t>
      </w:r>
      <w:r>
        <w:t xml:space="preserve"> </w:t>
      </w:r>
      <w:r>
        <w:t xml:space="preserve">monitoring—are not documentation requirements. They are design requirements. Products</w:t>
      </w:r>
      <w:r>
        <w:t xml:space="preserve"> </w:t>
      </w:r>
      <w:r>
        <w:t xml:space="preserve">that treat them as the former face a growing and ultimately unbridgeable gap between</w:t>
      </w:r>
      <w:r>
        <w:t xml:space="preserve"> </w:t>
      </w:r>
      <w:r>
        <w:t xml:space="preserve">declared and demonstrable compliance.</w:t>
      </w:r>
    </w:p>
    <w:p>
      <w:pPr>
        <w:pStyle w:val="BodyText"/>
      </w:pPr>
      <w:r>
        <w:t xml:space="preserve">This gap is not hypothetical. Analysis of the educational AI supplier market suggests</w:t>
      </w:r>
      <w:r>
        <w:t xml:space="preserve"> </w:t>
      </w:r>
      <w:r>
        <w:t xml:space="preserve">that very few products currently deployed in formal educational settings would meet the</w:t>
      </w:r>
      <w:r>
        <w:t xml:space="preserve"> </w:t>
      </w:r>
      <w:r>
        <w:t xml:space="preserve">substantive requirements of the Act as currently written—and this pattern is not</w:t>
      </w:r>
      <w:r>
        <w:t xml:space="preserve"> </w:t>
      </w:r>
      <w:r>
        <w:t xml:space="preserve">confined to the EU. Reports from the British Educational Suppliers Association indicate</w:t>
      </w:r>
      <w:r>
        <w:t xml:space="preserve"> </w:t>
      </w:r>
      <w:r>
        <w:t xml:space="preserve">that as of 2025, no supplier has been confirmed compliant with the UK Department for</w:t>
      </w:r>
      <w:r>
        <w:t xml:space="preserve"> </w:t>
      </w:r>
      <w:r>
        <w:t xml:space="preserve">Education’s emerging AI standards, including products that have received government</w:t>
      </w:r>
      <w:r>
        <w:t xml:space="preserve"> </w:t>
      </w:r>
      <w:r>
        <w:t xml:space="preserve">endorsement. The structural reason is the same in both markets: compliance was not</w:t>
      </w:r>
      <w:r>
        <w:t xml:space="preserve"> </w:t>
      </w:r>
      <w:r>
        <w:t xml:space="preserve">designed in.</w:t>
      </w:r>
    </w:p>
    <w:p>
      <w:pPr>
        <w:pStyle w:val="BodyText"/>
      </w:pPr>
      <w:r>
        <w:t xml:space="preserve">Diotima’s architecture responds to this directly. Because Annex III obligations were</w:t>
      </w:r>
      <w:r>
        <w:t xml:space="preserve"> </w:t>
      </w:r>
      <w:r>
        <w:t xml:space="preserve">treated as the design specification from the outset, the compliance posture is not</w:t>
      </w:r>
      <w:r>
        <w:t xml:space="preserve"> </w:t>
      </w:r>
      <w:r>
        <w:t xml:space="preserve">asserted—it is verifiable. Each governance dimension documented in this paper</w:t>
      </w:r>
      <w:r>
        <w:t xml:space="preserve"> </w:t>
      </w:r>
      <w:r>
        <w:t xml:space="preserve">corresponds to a concrete architectural or operational feature that can be examined,</w:t>
      </w:r>
      <w:r>
        <w:t xml:space="preserve"> </w:t>
      </w:r>
      <w:r>
        <w:t xml:space="preserve">audited, and validated by an institution, a regulator, or a conformity assessment body.</w:t>
      </w:r>
      <w:r>
        <w:t xml:space="preserve"> </w:t>
      </w:r>
      <w:r>
        <w:t xml:space="preserve">This is what distinguishes compliance-by-design from post-hoc compliance: the former</w:t>
      </w:r>
      <w:r>
        <w:t xml:space="preserve"> </w:t>
      </w:r>
      <w:r>
        <w:t xml:space="preserve">generates evidence as a byproduct of normal operation; the latter requires it to be</w:t>
      </w:r>
      <w:r>
        <w:t xml:space="preserve"> </w:t>
      </w:r>
      <w:r>
        <w:t xml:space="preserve">produced retrospectively, from a system not designed to produce it.</w:t>
      </w:r>
    </w:p>
    <w:p>
      <w:pPr>
        <w:pStyle w:val="BodyText"/>
      </w:pPr>
      <w:r>
        <w:t xml:space="preserve">The institutional implications are direct. Educational institutions considering</w:t>
      </w:r>
      <w:r>
        <w:t xml:space="preserve"> </w:t>
      </w:r>
      <w:r>
        <w:t xml:space="preserve">AI-assisted formative assessment do not need to choose between regulatory safety and</w:t>
      </w:r>
      <w:r>
        <w:t xml:space="preserve"> </w:t>
      </w:r>
      <w:r>
        <w:t xml:space="preserve">pedagogical capability. A system designed from first principles for Annex III compliance</w:t>
      </w:r>
      <w:r>
        <w:t xml:space="preserve"> </w:t>
      </w:r>
      <w:r>
        <w:t xml:space="preserve">can be simultaneously safe, transparent, and educationally serious. The architecture</w:t>
      </w:r>
      <w:r>
        <w:t xml:space="preserve"> </w:t>
      </w:r>
      <w:r>
        <w:t xml:space="preserve">described in this paper demonstrates that compliance, far from constraining what the</w:t>
      </w:r>
      <w:r>
        <w:t xml:space="preserve"> </w:t>
      </w:r>
      <w:r>
        <w:t xml:space="preserve">technology can do, is the foundation on which trustworthy educational AI must be built.</w:t>
      </w:r>
    </w:p>
    <w:bookmarkEnd w:id="19"/>
    <w:bookmarkStart w:id="2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central proposition of this paper is that the EU AI Act’s high-risk classification</w:t>
      </w:r>
      <w:r>
        <w:t xml:space="preserve"> </w:t>
      </w:r>
      <w:r>
        <w:t xml:space="preserve">of educational assessment AI, rather than constraining what can be built, defines what</w:t>
      </w:r>
      <w:r>
        <w:t xml:space="preserve"> </w:t>
      </w:r>
      <w:r>
        <w:t xml:space="preserve">must be built. A system that takes Annex III obligations seriously as design</w:t>
      </w:r>
      <w:r>
        <w:t xml:space="preserve"> </w:t>
      </w:r>
      <w:r>
        <w:t xml:space="preserve">requirements—grounding its outputs in approved curriculum materials, enforcing human</w:t>
      </w:r>
      <w:r>
        <w:t xml:space="preserve"> </w:t>
      </w:r>
      <w:r>
        <w:t xml:space="preserve">oversight structurally, differentiating explainability by role, governing model</w:t>
      </w:r>
      <w:r>
        <w:t xml:space="preserve"> </w:t>
      </w:r>
      <w:r>
        <w:t xml:space="preserve">selection and data use to evidential standards, and embedding post-market monitoring as</w:t>
      </w:r>
      <w:r>
        <w:t xml:space="preserve"> </w:t>
      </w:r>
      <w:r>
        <w:t xml:space="preserve">an operational discipline—is not a constrained system. It is a more trustworthy, more</w:t>
      </w:r>
      <w:r>
        <w:t xml:space="preserve"> </w:t>
      </w:r>
      <w:r>
        <w:t xml:space="preserve">auditable, and more professionally empowering one.</w:t>
      </w:r>
    </w:p>
    <w:p>
      <w:pPr>
        <w:pStyle w:val="BodyText"/>
      </w:pPr>
      <w:r>
        <w:t xml:space="preserve">Diotima represents one implementation of this proposition. The architecture described</w:t>
      </w:r>
      <w:r>
        <w:t xml:space="preserve"> </w:t>
      </w:r>
      <w:r>
        <w:t xml:space="preserve">in this paper demonstrates that compliance-by-design is not a theoretical position but</w:t>
      </w:r>
      <w:r>
        <w:t xml:space="preserve"> </w:t>
      </w:r>
      <w:r>
        <w:t xml:space="preserve">a practically achievable design outcome—one that preserves teacher professional</w:t>
      </w:r>
      <w:r>
        <w:t xml:space="preserve"> </w:t>
      </w:r>
      <w:r>
        <w:t xml:space="preserve">authority, supports pedagogically serious formative assessment, and generates the</w:t>
      </w:r>
      <w:r>
        <w:t xml:space="preserve"> </w:t>
      </w:r>
      <w:r>
        <w:t xml:space="preserve">evidence of safe operation that institutions and regulators require.</w:t>
      </w:r>
    </w:p>
    <w:p>
      <w:pPr>
        <w:pStyle w:val="BodyText"/>
      </w:pPr>
      <w:r>
        <w:t xml:space="preserve">The regulatory moment in educational technology creates an obligation that is also an</w:t>
      </w:r>
      <w:r>
        <w:t xml:space="preserve"> </w:t>
      </w:r>
      <w:r>
        <w:t xml:space="preserve">opportunity: to build AI for education that earns institutional trust rather than</w:t>
      </w:r>
      <w:r>
        <w:t xml:space="preserve"> </w:t>
      </w:r>
      <w:r>
        <w:t xml:space="preserve">requests it, and that places the professional judgment of teachers at the centre of</w:t>
      </w:r>
      <w:r>
        <w:t xml:space="preserve"> </w:t>
      </w:r>
      <w:r>
        <w:t xml:space="preserve">every consequential decision about learners.</w:t>
      </w:r>
    </w:p>
    <w:bookmarkEnd w:id="20"/>
    <w:bookmarkStart w:id="2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smallCaps/>
        </w:rPr>
        <w:t xml:space="preserve">Bloom B. S., Engelhart M. D., Furst E. J., Hill W. H.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Krathwohl D. R.</w:t>
      </w:r>
      <w:r>
        <w:t xml:space="preserve"> </w:t>
      </w:r>
      <w:r>
        <w:t xml:space="preserve">(1956)</w:t>
      </w:r>
      <w:r>
        <w:t xml:space="preserve"> </w:t>
      </w:r>
      <w:r>
        <w:rPr>
          <w:i/>
          <w:iCs/>
        </w:rPr>
        <w:t xml:space="preserve">Taxonomy of Educational Objectives: The Classification of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Goals. Handbook I: Cognitive Domain</w:t>
      </w:r>
      <w:r>
        <w:t xml:space="preserve">. David McKay, New York.</w:t>
      </w:r>
    </w:p>
    <w:p>
      <w:pPr>
        <w:pStyle w:val="BodyText"/>
      </w:pPr>
      <w:r>
        <w:rPr>
          <w:smallCaps/>
        </w:rPr>
        <w:t xml:space="preserve">European Parliament and Council of the European Union</w:t>
      </w:r>
      <w:r>
        <w:t xml:space="preserve"> </w:t>
      </w:r>
      <w:r>
        <w:t xml:space="preserve">(2024)</w:t>
      </w:r>
      <w:r>
        <w:t xml:space="preserve"> </w:t>
      </w:r>
      <w:r>
        <w:t xml:space="preserve">Regulation (EU) 2024/1689 of the European Parliament and of the Council of</w:t>
      </w:r>
      <w:r>
        <w:t xml:space="preserve"> </w:t>
      </w:r>
      <w:r>
        <w:t xml:space="preserve">13 June 2024 laying down harmonised rules on artificial intelligence (Artificial</w:t>
      </w:r>
      <w:r>
        <w:t xml:space="preserve"> </w:t>
      </w:r>
      <w:r>
        <w:t xml:space="preserve">Intelligence Act),</w:t>
      </w:r>
      <w:r>
        <w:t xml:space="preserve"> </w:t>
      </w:r>
      <w:r>
        <w:rPr>
          <w:i/>
          <w:iCs/>
        </w:rPr>
        <w:t xml:space="preserve">Official Journal of the European Union</w:t>
      </w:r>
      <w:r>
        <w:t xml:space="preserve">, L 2024/1689.</w:t>
      </w:r>
    </w:p>
    <w:p>
      <w:pPr>
        <w:pStyle w:val="BodyText"/>
      </w:pPr>
      <w:r>
        <w:rPr>
          <w:smallCaps/>
        </w:rPr>
        <w:t xml:space="preserve">Gehman S., Gururangan S., Sap M., Choi Y.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Smith N. A.</w:t>
      </w:r>
      <w:r>
        <w:t xml:space="preserve"> </w:t>
      </w:r>
      <w:r>
        <w:t xml:space="preserve">(2020) RealToxicityPrompts: Evaluating Neural Toxic Degeneration in Language</w:t>
      </w:r>
      <w:r>
        <w:t xml:space="preserve"> </w:t>
      </w:r>
      <w:r>
        <w:t xml:space="preserve">Models,</w:t>
      </w:r>
      <w:r>
        <w:t xml:space="preserve"> </w:t>
      </w:r>
      <w:r>
        <w:rPr>
          <w:i/>
          <w:iCs/>
        </w:rPr>
        <w:t xml:space="preserve">Findings of the Association for Computational Linguistics:</w:t>
      </w:r>
      <w:r>
        <w:rPr>
          <w:i/>
          <w:iCs/>
        </w:rPr>
        <w:t xml:space="preserve"> </w:t>
      </w:r>
      <w:r>
        <w:rPr>
          <w:i/>
          <w:iCs/>
        </w:rPr>
        <w:t xml:space="preserve">EMNLP 2020</w:t>
      </w:r>
      <w:r>
        <w:t xml:space="preserve">, pp. 3356–3369.</w:t>
      </w:r>
    </w:p>
    <w:p>
      <w:pPr>
        <w:pStyle w:val="BodyText"/>
      </w:pPr>
      <w:r>
        <w:rPr>
          <w:smallCaps/>
        </w:rPr>
        <w:t xml:space="preserve">Hendrycks D., Burns C., Basart S., Zou A., Mazeika M., Song D.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Steinhardt J.</w:t>
      </w:r>
      <w:r>
        <w:t xml:space="preserve"> </w:t>
      </w:r>
      <w:r>
        <w:t xml:space="preserve">(2021a)</w:t>
      </w:r>
      <w:r>
        <w:t xml:space="preserve"> </w:t>
      </w:r>
      <w:r>
        <w:t xml:space="preserve">Measuring Massive Multitask Language Understanding,</w:t>
      </w:r>
      <w:r>
        <w:t xml:space="preserve"> </w:t>
      </w:r>
      <w:r>
        <w:rPr>
          <w:i/>
          <w:iCs/>
        </w:rPr>
        <w:t xml:space="preserve">International Conference on Learning Representations (ICLR 2021)</w:t>
      </w:r>
      <w:r>
        <w:t xml:space="preserve">,</w:t>
      </w:r>
      <w:r>
        <w:t xml:space="preserve"> </w:t>
      </w:r>
      <w:r>
        <w:t xml:space="preserve">arXiv:2009.03300.</w:t>
      </w:r>
    </w:p>
    <w:p>
      <w:pPr>
        <w:pStyle w:val="BodyText"/>
      </w:pPr>
      <w:r>
        <w:rPr>
          <w:smallCaps/>
        </w:rPr>
        <w:t xml:space="preserve">Noval Consulting</w:t>
      </w:r>
      <w:r>
        <w:t xml:space="preserve"> </w:t>
      </w:r>
      <w:r>
        <w:t xml:space="preserve">(2025)</w:t>
      </w:r>
      <w:r>
        <w:t xml:space="preserve"> </w:t>
      </w:r>
      <w:r>
        <w:t xml:space="preserve">Diotima AI Assessment Platform: Annex III High-Risk AI Compliance Dossier, v1.1-draft.</w:t>
      </w:r>
      <w:r>
        <w:t xml:space="preserve"> </w:t>
      </w:r>
      <w:r>
        <w:t xml:space="preserve">Internal technical documentation, Noval Consulting, Dublin.</w:t>
      </w:r>
    </w:p>
    <w:p>
      <w:pPr>
        <w:pStyle w:val="BodyText"/>
      </w:pPr>
      <w:r>
        <w:rPr>
          <w:smallCaps/>
        </w:rPr>
        <w:t xml:space="preserve">Parrish A., Chen A., Nangia N., Padmakumar V., Phang J., Thompson J.,</w:t>
      </w:r>
      <w:r>
        <w:rPr>
          <w:smallCaps/>
        </w:rPr>
        <w:t xml:space="preserve"> </w:t>
      </w:r>
      <w:r>
        <w:rPr>
          <w:smallCaps/>
        </w:rPr>
        <w:t xml:space="preserve">Htut P. M.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Bowman S.</w:t>
      </w:r>
      <w:r>
        <w:t xml:space="preserve"> </w:t>
      </w:r>
      <w:r>
        <w:t xml:space="preserve">(2022) BBQ: A hand-built bias benchmark for</w:t>
      </w:r>
      <w:r>
        <w:t xml:space="preserve"> </w:t>
      </w:r>
      <w:r>
        <w:t xml:space="preserve">question answering,</w:t>
      </w:r>
      <w:r>
        <w:t xml:space="preserve"> </w:t>
      </w:r>
      <w:r>
        <w:rPr>
          <w:i/>
          <w:iCs/>
        </w:rPr>
        <w:t xml:space="preserve">Findings of the Association for Computational</w:t>
      </w:r>
      <w:r>
        <w:rPr>
          <w:i/>
          <w:iCs/>
        </w:rPr>
        <w:t xml:space="preserve"> </w:t>
      </w:r>
      <w:r>
        <w:rPr>
          <w:i/>
          <w:iCs/>
        </w:rPr>
        <w:t xml:space="preserve">Linguistics: ACL 2022</w:t>
      </w:r>
      <w:r>
        <w:t xml:space="preserve">, pp. 2982–2996.</w:t>
      </w:r>
    </w:p>
    <w:p>
      <w:pPr>
        <w:pStyle w:val="BodyText"/>
      </w:pPr>
      <w:r>
        <w:rPr>
          <w:smallCaps/>
        </w:rPr>
        <w:t xml:space="preserve">Rein D., Hou B. L., Stickland A. C., Petty R., Pang R. Y., Dirani N.,</w:t>
      </w:r>
      <w:r>
        <w:rPr>
          <w:smallCaps/>
        </w:rPr>
        <w:t xml:space="preserve"> </w:t>
      </w:r>
      <w:r>
        <w:rPr>
          <w:smallCaps/>
        </w:rPr>
        <w:t xml:space="preserve">Michael J.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Bowman S. R.</w:t>
      </w:r>
      <w:r>
        <w:t xml:space="preserve"> </w:t>
      </w:r>
      <w:r>
        <w:t xml:space="preserve">(2023) GPQA: A Graduate-Level</w:t>
      </w:r>
      <w:r>
        <w:t xml:space="preserve"> </w:t>
      </w:r>
      <w:r>
        <w:t xml:space="preserve">Google-Proof Q&amp;A Benchmark,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arXiv:2311.12022.</w:t>
      </w:r>
    </w:p>
    <w:p>
      <w:pPr>
        <w:pStyle w:val="BodyText"/>
      </w:pPr>
      <w:r>
        <w:rPr>
          <w:smallCaps/>
        </w:rPr>
        <w:t xml:space="preserve">Wei J., Yang C., Song Y., Lu P., Hu E., Tran D., Peng D., Liu R.,</w:t>
      </w:r>
      <w:r>
        <w:rPr>
          <w:smallCaps/>
        </w:rPr>
        <w:t xml:space="preserve"> </w:t>
      </w:r>
      <w:r>
        <w:rPr>
          <w:smallCaps/>
        </w:rPr>
        <w:t xml:space="preserve">Huang D., Du Y.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Le Q. V.</w:t>
      </w:r>
      <w:r>
        <w:t xml:space="preserve"> </w:t>
      </w:r>
      <w:r>
        <w:t xml:space="preserve">(2024) Long-form factuality in large</w:t>
      </w:r>
      <w:r>
        <w:t xml:space="preserve"> </w:t>
      </w:r>
      <w:r>
        <w:t xml:space="preserve">language models,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arXiv:2403.18802.</w:t>
      </w:r>
    </w:p>
    <w:p>
      <w:pPr>
        <w:pStyle w:val="BodyText"/>
      </w:pPr>
      <w:r>
        <w:rPr>
          <w:smallCaps/>
        </w:rPr>
        <w:t xml:space="preserve">Vidgen B., Thrush T., Waseem Z.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Kiela D.</w:t>
      </w:r>
      <w:r>
        <w:t xml:space="preserve"> </w:t>
      </w:r>
      <w:r>
        <w:t xml:space="preserve">(2023)</w:t>
      </w:r>
      <w:r>
        <w:t xml:space="preserve"> </w:t>
      </w:r>
      <w:r>
        <w:t xml:space="preserve">SimpleSafetyTests: a Test Suite for Identifying Critical Safety Risks in Large</w:t>
      </w:r>
      <w:r>
        <w:t xml:space="preserve"> </w:t>
      </w:r>
      <w:r>
        <w:t xml:space="preserve">Language Models,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arXiv:2311.08370.</w:t>
      </w:r>
    </w:p>
    <w:p>
      <w:pPr>
        <w:pStyle w:val="BodyText"/>
      </w:pPr>
      <w:r>
        <w:rPr>
          <w:smallCaps/>
        </w:rPr>
        <w:t xml:space="preserve">Zhou J., Lu P., Mishra S., Brahma S., Basu S., Luan Y., Zhou D.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Hou L.</w:t>
      </w:r>
      <w:r>
        <w:t xml:space="preserve"> </w:t>
      </w:r>
      <w:r>
        <w:t xml:space="preserve">(2023) Instruction-Following Evaluation for Large Language</w:t>
      </w:r>
      <w:r>
        <w:t xml:space="preserve"> </w:t>
      </w:r>
      <w:r>
        <w:t xml:space="preserve">Models,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arXiv:2311.07911.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i/>
          <w:iCs/>
        </w:rPr>
        <w:t xml:space="preserve">Working paper derived from the Diotima Annex III Technical</w:t>
      </w:r>
      <w:r>
        <w:rPr>
          <w:i/>
          <w:iCs/>
        </w:rPr>
        <w:t xml:space="preserve"> </w:t>
      </w:r>
      <w:r>
        <w:rPr>
          <w:i/>
          <w:iCs/>
        </w:rPr>
        <w:t xml:space="preserve">Dossier (v1.1-draft, 2025). Prepared by Noval Consulting. All correspondence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info@novalconsulting.ai</w:t>
      </w:r>
      <w:r>
        <w:rPr>
          <w:i/>
          <w:iCs/>
        </w:rPr>
        <w:t xml:space="preserve">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2026-04-03T09:41:32Z</dcterms:created>
  <dcterms:modified xsi:type="dcterms:W3CDTF">2026-04-03T09:41:32Z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