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60"/>
        <w:jc w:val="center"/>
      </w:pPr>
      <w:r>
        <w:rPr>
          <w:rFonts w:ascii="Aptos Display" w:hAnsi="Aptos Display"/>
          <w:b/>
          <w:color w:val="17365D"/>
          <w:sz w:val="68"/>
        </w:rPr>
        <w:t>A Future UK Railway</w:t>
      </w:r>
    </w:p>
    <w:p>
      <w:pPr>
        <w:jc w:val="center"/>
      </w:pPr>
      <w:r>
        <w:rPr>
          <w:b/>
          <w:color w:val="0072CE"/>
          <w:sz w:val="32"/>
        </w:rPr>
        <w:t>Rail Infrastructure Strategy Guided by the UN Sustainable Development Goals</w:t>
      </w:r>
    </w:p>
    <w:tbl>
      <w:tblPr>
        <w:tblW w:type="auto" w:w="0"/>
        <w:jc w:val="center"/>
        <w:tblLook w:firstColumn="1" w:firstRow="1" w:lastColumn="0" w:lastRow="0" w:noHBand="0" w:noVBand="1" w:val="04A0"/>
      </w:tblPr>
      <w:tblGrid>
        <w:gridCol w:w="1285"/>
        <w:gridCol w:w="1285"/>
        <w:gridCol w:w="1285"/>
        <w:gridCol w:w="1285"/>
        <w:gridCol w:w="1285"/>
        <w:gridCol w:w="1285"/>
        <w:gridCol w:w="1285"/>
        <w:gridCol w:w="1285"/>
      </w:tblGrid>
      <w:tr>
        <w:tc>
          <w:tcPr>
            <w:tcW w:type="dxa" w:w="1285"/>
            <w:shd w:fill="0072CE"/>
          </w:tcPr>
          <w:p>
            <w:r/>
          </w:p>
        </w:tc>
        <w:tc>
          <w:tcPr>
            <w:tcW w:type="dxa" w:w="1285"/>
            <w:shd w:fill="4C9F38"/>
          </w:tcPr>
          <w:p>
            <w:r/>
          </w:p>
        </w:tc>
        <w:tc>
          <w:tcPr>
            <w:tcW w:type="dxa" w:w="1285"/>
            <w:shd w:fill="FD9D24"/>
          </w:tcPr>
          <w:p>
            <w:r/>
          </w:p>
        </w:tc>
        <w:tc>
          <w:tcPr>
            <w:tcW w:type="dxa" w:w="1285"/>
            <w:shd w:fill="DD1367"/>
          </w:tcPr>
          <w:p>
            <w:r/>
          </w:p>
        </w:tc>
        <w:tc>
          <w:tcPr>
            <w:tcW w:type="dxa" w:w="1285"/>
            <w:shd w:fill="BF8B2E"/>
          </w:tcPr>
          <w:p>
            <w:r/>
          </w:p>
        </w:tc>
        <w:tc>
          <w:tcPr>
            <w:tcW w:type="dxa" w:w="1285"/>
            <w:shd w:fill="009B77"/>
          </w:tcPr>
          <w:p>
            <w:r/>
          </w:p>
        </w:tc>
        <w:tc>
          <w:tcPr>
            <w:tcW w:type="dxa" w:w="1285"/>
            <w:shd w:fill="7F3F98"/>
          </w:tcPr>
          <w:p>
            <w:r/>
          </w:p>
        </w:tc>
        <w:tc>
          <w:tcPr>
            <w:tcW w:type="dxa" w:w="1285"/>
            <w:shd w:fill="17365D"/>
          </w:tcPr>
          <w:p>
            <w:r/>
          </w:p>
        </w:tc>
      </w:tr>
    </w:tbl>
    <w:p>
      <w:pPr>
        <w:spacing w:before="400"/>
        <w:jc w:val="center"/>
      </w:pPr>
      <w:r>
        <w:rPr>
          <w:color w:val="5B6573"/>
          <w:sz w:val="20"/>
        </w:rPr>
        <w:t>Strategic concept paper | August 2026</w:t>
      </w:r>
    </w:p>
    <w:p>
      <w:pPr>
        <w:spacing w:before="200"/>
        <w:jc w:val="center"/>
      </w:pPr>
      <w:r>
        <w:rPr>
          <w:b/>
          <w:color w:val="17365D"/>
          <w:sz w:val="21"/>
        </w:rPr>
        <w:t>Core principle</w:t>
      </w:r>
    </w:p>
    <w:p>
      <w:pPr>
        <w:jc w:val="center"/>
      </w:pPr>
      <w:r>
        <w:rPr>
          <w:i/>
          <w:color w:val="1F2937"/>
          <w:sz w:val="26"/>
        </w:rPr>
        <w:t>Every major rail investment should demonstrate economic, social and environmental value - not just increased capacity.</w:t>
      </w:r>
    </w:p>
    <w:p>
      <w:r>
        <w:br w:type="page"/>
      </w:r>
    </w:p>
    <w:p>
      <w:pPr>
        <w:spacing w:before="80" w:after="80"/>
        <w:pBdr>
          <w:bottom w:val="single" w:sz="8" w:space="2" w:color="0072CE"/>
        </w:pBdr>
      </w:pPr>
      <w:r>
        <w:rPr>
          <w:rFonts w:ascii="Aptos Display" w:hAnsi="Aptos Display"/>
          <w:b/>
          <w:color w:val="17365D"/>
          <w:sz w:val="34"/>
        </w:rPr>
        <w:t>Executive Summary</w:t>
      </w:r>
    </w:p>
    <w:p>
      <w:pPr>
        <w:spacing w:after="60" w:line="245" w:lineRule="auto"/>
      </w:pPr>
      <w:r>
        <w:rPr>
          <w:rFonts w:ascii="Aptos" w:hAnsi="Aptos"/>
          <w:color w:val="1F2937"/>
          <w:sz w:val="18"/>
        </w:rPr>
        <w:t>The United Kingdom needs a railway strategy that treats rail as long-life national infrastructure: supporting productivity, regional connectivity, accessibility, decarbonisation, resilience, skills and quality of life. The UN Sustainable Development Goals (SDGs) provide a practical framework for judging whether investment creates balanced value for people, prosperity and the planet.</w:t>
      </w:r>
    </w:p>
    <w:p>
      <w:pPr>
        <w:spacing w:after="60" w:line="245" w:lineRule="auto"/>
      </w:pPr>
      <w:r>
        <w:rPr>
          <w:rFonts w:ascii="Aptos" w:hAnsi="Aptos"/>
          <w:color w:val="1F2937"/>
          <w:sz w:val="18"/>
        </w:rPr>
        <w:t>The case for long-term planning is strong. The Railways Bill framework provides for a 30-year Long-Term Rail Strategy, while the UN Decade of Sustainable Transport runs from 2026 to 2035. In Great Britain, 1.83 billion passenger journeys were made between April 2025 and March 2026 - the highest annual total since 1920.</w:t>
      </w:r>
    </w:p>
    <w:tbl>
      <w:tblPr>
        <w:tblW w:type="auto" w:w="0"/>
        <w:jc w:val="center"/>
        <w:tblLayout w:type="fixed"/>
        <w:tblLook w:firstColumn="1" w:firstRow="1" w:lastColumn="0" w:lastRow="0" w:noHBand="0" w:noVBand="1" w:val="04A0"/>
      </w:tblPr>
      <w:tblGrid>
        <w:gridCol w:w="173"/>
        <w:gridCol w:w="9936"/>
      </w:tblGrid>
      <w:tr>
        <w:trPr>
          <w:cantSplit/>
        </w:trPr>
        <w:tc>
          <w:tcPr>
            <w:tcW w:type="dxa" w:w="5141"/>
            <w:shd w:fill="4C9F38"/>
          </w:tcPr>
          <w:p>
            <w:r/>
          </w:p>
        </w:tc>
        <w:tc>
          <w:tcPr>
            <w:tcW w:type="dxa" w:w="5141"/>
            <w:shd w:fill="EEF7EE"/>
            <w:vAlign w:val="center"/>
          </w:tcPr>
          <w:p>
            <w:pPr>
              <w:spacing w:after="20"/>
            </w:pPr>
            <w:r>
              <w:rPr>
                <w:b/>
                <w:color w:val="17365D"/>
                <w:sz w:val="19"/>
              </w:rPr>
              <w:t>Recommended strategic objective</w:t>
            </w:r>
          </w:p>
          <w:p>
            <w:pPr>
              <w:spacing w:after="0"/>
            </w:pPr>
            <w:r>
              <w:rPr>
                <w:color w:val="1F2937"/>
                <w:sz w:val="17"/>
              </w:rPr>
              <w:t>Create a reliable, accessible, low-carbon and resilient railway that connects communities, strengthens regional economies, supports freight and skills, and adapts to climate, demographic and technological change.</w:t>
            </w:r>
          </w:p>
        </w:tc>
      </w:tr>
    </w:tbl>
    <w:p>
      <w:pPr>
        <w:spacing w:after="0"/>
      </w:pPr>
    </w:p>
    <w:p>
      <w:pPr>
        <w:spacing w:before="80" w:after="80"/>
        <w:pBdr>
          <w:bottom w:val="single" w:sz="8" w:space="2" w:color="0072CE"/>
        </w:pBdr>
      </w:pPr>
      <w:r>
        <w:rPr>
          <w:rFonts w:ascii="Aptos Display" w:hAnsi="Aptos Display"/>
          <w:b/>
          <w:color w:val="17365D"/>
          <w:sz w:val="34"/>
        </w:rPr>
        <w:t>1. SDG Framework for Rail</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7365D"/>
          </w:tcPr>
          <w:p>
            <w:r>
              <w:rPr>
                <w:b/>
                <w:color w:val="FFFFFF"/>
                <w:sz w:val="16"/>
              </w:rPr>
              <w:t>SDG</w:t>
            </w:r>
          </w:p>
        </w:tc>
        <w:tc>
          <w:tcPr>
            <w:tcW w:type="dxa" w:w="3427"/>
            <w:shd w:fill="17365D"/>
          </w:tcPr>
          <w:p>
            <w:r>
              <w:rPr>
                <w:b/>
                <w:color w:val="FFFFFF"/>
                <w:sz w:val="16"/>
              </w:rPr>
              <w:t>Rail relevance</w:t>
            </w:r>
          </w:p>
        </w:tc>
        <w:tc>
          <w:tcPr>
            <w:tcW w:type="dxa" w:w="3427"/>
            <w:shd w:fill="17365D"/>
          </w:tcPr>
          <w:p>
            <w:r>
              <w:rPr>
                <w:b/>
                <w:color w:val="FFFFFF"/>
                <w:sz w:val="16"/>
              </w:rPr>
              <w:t>Practical application</w:t>
            </w:r>
          </w:p>
        </w:tc>
      </w:tr>
      <w:tr>
        <w:trPr>
          <w:cantSplit/>
        </w:trPr>
        <w:tc>
          <w:tcPr>
            <w:tcW w:type="dxa" w:w="3427"/>
            <w:shd w:fill="0072CE"/>
          </w:tcPr>
          <w:p>
            <w:r>
              <w:rPr>
                <w:b/>
                <w:color w:val="FFFFFF"/>
                <w:sz w:val="15"/>
              </w:rPr>
              <w:t>8</w:t>
            </w:r>
          </w:p>
        </w:tc>
        <w:tc>
          <w:tcPr>
            <w:tcW w:type="dxa" w:w="3427"/>
          </w:tcPr>
          <w:p>
            <w:r>
              <w:rPr>
                <w:sz w:val="15"/>
              </w:rPr>
              <w:t>Decent Work</w:t>
            </w:r>
          </w:p>
        </w:tc>
        <w:tc>
          <w:tcPr>
            <w:tcW w:type="dxa" w:w="3427"/>
          </w:tcPr>
          <w:p>
            <w:r>
              <w:rPr>
                <w:sz w:val="15"/>
              </w:rPr>
              <w:t>Skills, apprenticeships, productivity.</w:t>
            </w:r>
          </w:p>
        </w:tc>
      </w:tr>
      <w:tr>
        <w:trPr>
          <w:cantSplit/>
        </w:trPr>
        <w:tc>
          <w:tcPr>
            <w:tcW w:type="dxa" w:w="3427"/>
            <w:shd w:fill="0072CE"/>
          </w:tcPr>
          <w:p>
            <w:r>
              <w:rPr>
                <w:b/>
                <w:color w:val="FFFFFF"/>
                <w:sz w:val="15"/>
              </w:rPr>
              <w:t>9</w:t>
            </w:r>
          </w:p>
        </w:tc>
        <w:tc>
          <w:tcPr>
            <w:tcW w:type="dxa" w:w="3427"/>
          </w:tcPr>
          <w:p>
            <w:r>
              <w:rPr>
                <w:sz w:val="15"/>
              </w:rPr>
              <w:t>Innovation &amp; Infrastructure</w:t>
            </w:r>
          </w:p>
        </w:tc>
        <w:tc>
          <w:tcPr>
            <w:tcW w:type="dxa" w:w="3427"/>
          </w:tcPr>
          <w:p>
            <w:r>
              <w:rPr>
                <w:sz w:val="15"/>
              </w:rPr>
              <w:t>Reliable assets, digital signalling, resilient networks.</w:t>
            </w:r>
          </w:p>
        </w:tc>
      </w:tr>
      <w:tr>
        <w:trPr>
          <w:cantSplit/>
        </w:trPr>
        <w:tc>
          <w:tcPr>
            <w:tcW w:type="dxa" w:w="3427"/>
            <w:shd w:fill="0072CE"/>
          </w:tcPr>
          <w:p>
            <w:r>
              <w:rPr>
                <w:b/>
                <w:color w:val="FFFFFF"/>
                <w:sz w:val="15"/>
              </w:rPr>
              <w:t>10</w:t>
            </w:r>
          </w:p>
        </w:tc>
        <w:tc>
          <w:tcPr>
            <w:tcW w:type="dxa" w:w="3427"/>
          </w:tcPr>
          <w:p>
            <w:r>
              <w:rPr>
                <w:sz w:val="15"/>
              </w:rPr>
              <w:t>Reduced Inequalities</w:t>
            </w:r>
          </w:p>
        </w:tc>
        <w:tc>
          <w:tcPr>
            <w:tcW w:type="dxa" w:w="3427"/>
          </w:tcPr>
          <w:p>
            <w:r>
              <w:rPr>
                <w:sz w:val="15"/>
              </w:rPr>
              <w:t>Accessible services and better rural/regional access.</w:t>
            </w:r>
          </w:p>
        </w:tc>
      </w:tr>
      <w:tr>
        <w:trPr>
          <w:cantSplit/>
        </w:trPr>
        <w:tc>
          <w:tcPr>
            <w:tcW w:type="dxa" w:w="3427"/>
            <w:shd w:fill="0072CE"/>
          </w:tcPr>
          <w:p>
            <w:r>
              <w:rPr>
                <w:b/>
                <w:color w:val="FFFFFF"/>
                <w:sz w:val="15"/>
              </w:rPr>
              <w:t>11</w:t>
            </w:r>
          </w:p>
        </w:tc>
        <w:tc>
          <w:tcPr>
            <w:tcW w:type="dxa" w:w="3427"/>
          </w:tcPr>
          <w:p>
            <w:r>
              <w:rPr>
                <w:sz w:val="15"/>
              </w:rPr>
              <w:t>Sustainable Communities</w:t>
            </w:r>
          </w:p>
        </w:tc>
        <w:tc>
          <w:tcPr>
            <w:tcW w:type="dxa" w:w="3427"/>
          </w:tcPr>
          <w:p>
            <w:r>
              <w:rPr>
                <w:sz w:val="15"/>
              </w:rPr>
              <w:t>Integrated rail, bus, tram, walking and cycling.</w:t>
            </w:r>
          </w:p>
        </w:tc>
      </w:tr>
      <w:tr>
        <w:trPr>
          <w:cantSplit/>
        </w:trPr>
        <w:tc>
          <w:tcPr>
            <w:tcW w:type="dxa" w:w="3427"/>
            <w:shd w:fill="0072CE"/>
          </w:tcPr>
          <w:p>
            <w:r>
              <w:rPr>
                <w:b/>
                <w:color w:val="FFFFFF"/>
                <w:sz w:val="15"/>
              </w:rPr>
              <w:t>12</w:t>
            </w:r>
          </w:p>
        </w:tc>
        <w:tc>
          <w:tcPr>
            <w:tcW w:type="dxa" w:w="3427"/>
          </w:tcPr>
          <w:p>
            <w:r>
              <w:rPr>
                <w:sz w:val="15"/>
              </w:rPr>
              <w:t>Responsible Production</w:t>
            </w:r>
          </w:p>
        </w:tc>
        <w:tc>
          <w:tcPr>
            <w:tcW w:type="dxa" w:w="3427"/>
          </w:tcPr>
          <w:p>
            <w:r>
              <w:rPr>
                <w:sz w:val="15"/>
              </w:rPr>
              <w:t>Whole-life assets, reuse and lower waste.</w:t>
            </w:r>
          </w:p>
        </w:tc>
      </w:tr>
      <w:tr>
        <w:trPr>
          <w:cantSplit/>
        </w:trPr>
        <w:tc>
          <w:tcPr>
            <w:tcW w:type="dxa" w:w="3427"/>
            <w:shd w:fill="4C9F38"/>
          </w:tcPr>
          <w:p>
            <w:r>
              <w:rPr>
                <w:b/>
                <w:color w:val="FFFFFF"/>
                <w:sz w:val="15"/>
              </w:rPr>
              <w:t>13</w:t>
            </w:r>
          </w:p>
        </w:tc>
        <w:tc>
          <w:tcPr>
            <w:tcW w:type="dxa" w:w="3427"/>
          </w:tcPr>
          <w:p>
            <w:r>
              <w:rPr>
                <w:sz w:val="15"/>
              </w:rPr>
              <w:t>Climate Action</w:t>
            </w:r>
          </w:p>
        </w:tc>
        <w:tc>
          <w:tcPr>
            <w:tcW w:type="dxa" w:w="3427"/>
          </w:tcPr>
          <w:p>
            <w:r>
              <w:rPr>
                <w:sz w:val="15"/>
              </w:rPr>
              <w:t>Electrification, modal shift and adaptation.</w:t>
            </w:r>
          </w:p>
        </w:tc>
      </w:tr>
      <w:tr>
        <w:trPr>
          <w:cantSplit/>
        </w:trPr>
        <w:tc>
          <w:tcPr>
            <w:tcW w:type="dxa" w:w="3427"/>
            <w:shd w:fill="4C9F38"/>
          </w:tcPr>
          <w:p>
            <w:r>
              <w:rPr>
                <w:b/>
                <w:color w:val="FFFFFF"/>
                <w:sz w:val="15"/>
              </w:rPr>
              <w:t>15</w:t>
            </w:r>
          </w:p>
        </w:tc>
        <w:tc>
          <w:tcPr>
            <w:tcW w:type="dxa" w:w="3427"/>
          </w:tcPr>
          <w:p>
            <w:r>
              <w:rPr>
                <w:sz w:val="15"/>
              </w:rPr>
              <w:t>Life on Land</w:t>
            </w:r>
          </w:p>
        </w:tc>
        <w:tc>
          <w:tcPr>
            <w:tcW w:type="dxa" w:w="3427"/>
          </w:tcPr>
          <w:p>
            <w:r>
              <w:rPr>
                <w:sz w:val="15"/>
              </w:rPr>
              <w:t>Biodiversity protection and habitat restoration.</w:t>
            </w:r>
          </w:p>
        </w:tc>
      </w:tr>
      <w:tr>
        <w:trPr>
          <w:cantSplit/>
        </w:trPr>
        <w:tc>
          <w:tcPr>
            <w:tcW w:type="dxa" w:w="3427"/>
            <w:shd w:fill="0072CE"/>
          </w:tcPr>
          <w:p>
            <w:r>
              <w:rPr>
                <w:b/>
                <w:color w:val="FFFFFF"/>
                <w:sz w:val="15"/>
              </w:rPr>
              <w:t>17</w:t>
            </w:r>
          </w:p>
        </w:tc>
        <w:tc>
          <w:tcPr>
            <w:tcW w:type="dxa" w:w="3427"/>
          </w:tcPr>
          <w:p>
            <w:r>
              <w:rPr>
                <w:sz w:val="15"/>
              </w:rPr>
              <w:t>Partnerships</w:t>
            </w:r>
          </w:p>
        </w:tc>
        <w:tc>
          <w:tcPr>
            <w:tcW w:type="dxa" w:w="3427"/>
          </w:tcPr>
          <w:p>
            <w:r>
              <w:rPr>
                <w:sz w:val="15"/>
              </w:rPr>
              <w:t>Government, industry, councils and communities.</w:t>
            </w:r>
          </w:p>
        </w:tc>
      </w:tr>
    </w:tbl>
    <w:p>
      <w:r>
        <w:br w:type="page"/>
      </w:r>
    </w:p>
    <w:p>
      <w:pPr>
        <w:spacing w:before="80" w:after="80"/>
        <w:pBdr>
          <w:bottom w:val="single" w:sz="8" w:space="2" w:color="0072CE"/>
        </w:pBdr>
      </w:pPr>
      <w:r>
        <w:rPr>
          <w:rFonts w:ascii="Aptos Display" w:hAnsi="Aptos Display"/>
          <w:b/>
          <w:color w:val="17365D"/>
          <w:sz w:val="34"/>
        </w:rPr>
        <w:t>2. Ten Priorities for a Future Railway</w:t>
      </w:r>
    </w:p>
    <w:p>
      <w:pPr>
        <w:spacing w:before="60" w:after="80"/>
      </w:pPr>
      <w:r>
        <w:rPr>
          <w:rFonts w:ascii="Aptos Display" w:hAnsi="Aptos Display"/>
          <w:b/>
          <w:color w:val="17365D"/>
          <w:sz w:val="25"/>
        </w:rPr>
        <w:t>1. Establish a 30-year national rail plan</w:t>
      </w:r>
    </w:p>
    <w:p>
      <w:pPr>
        <w:spacing w:after="60" w:line="245" w:lineRule="auto"/>
      </w:pPr>
      <w:r>
        <w:rPr>
          <w:rFonts w:ascii="Aptos" w:hAnsi="Aptos"/>
          <w:color w:val="1F2937"/>
          <w:sz w:val="18"/>
        </w:rPr>
        <w:t>Use a stable long-term strategy with five-year reviews. Link national objectives to devolved and regional transport plans.</w:t>
      </w:r>
    </w:p>
    <w:p>
      <w:pPr>
        <w:spacing w:before="60" w:after="80"/>
      </w:pPr>
      <w:r>
        <w:rPr>
          <w:rFonts w:ascii="Aptos Display" w:hAnsi="Aptos Display"/>
          <w:b/>
          <w:color w:val="17365D"/>
          <w:sz w:val="25"/>
        </w:rPr>
        <w:t>2. Renew the existing railway first</w:t>
      </w:r>
    </w:p>
    <w:p>
      <w:pPr>
        <w:spacing w:after="60" w:line="245" w:lineRule="auto"/>
      </w:pPr>
      <w:r>
        <w:rPr>
          <w:rFonts w:ascii="Aptos" w:hAnsi="Aptos"/>
          <w:color w:val="1F2937"/>
          <w:sz w:val="18"/>
        </w:rPr>
        <w:t>Prioritise track, bridges, tunnels, drainage, signalling, power and stations. Preventative maintenance and better asset data should reduce disruption and whole-life cost.</w:t>
      </w:r>
    </w:p>
    <w:p>
      <w:pPr>
        <w:spacing w:before="60" w:after="80"/>
      </w:pPr>
      <w:r>
        <w:rPr>
          <w:rFonts w:ascii="Aptos Display" w:hAnsi="Aptos Display"/>
          <w:b/>
          <w:color w:val="17365D"/>
          <w:sz w:val="25"/>
        </w:rPr>
        <w:t>3. Deliver rolling electrification</w:t>
      </w:r>
    </w:p>
    <w:p>
      <w:pPr>
        <w:spacing w:after="60" w:line="245" w:lineRule="auto"/>
      </w:pPr>
      <w:r>
        <w:rPr>
          <w:rFonts w:ascii="Aptos" w:hAnsi="Aptos"/>
          <w:color w:val="1F2937"/>
          <w:sz w:val="18"/>
        </w:rPr>
        <w:t>Electrify high-use passenger and freight corridors through a predictable programme. Use battery or other low-emission traction where full electrification is not proportionate.</w:t>
      </w:r>
    </w:p>
    <w:p>
      <w:pPr>
        <w:spacing w:before="60" w:after="80"/>
      </w:pPr>
      <w:r>
        <w:rPr>
          <w:rFonts w:ascii="Aptos Display" w:hAnsi="Aptos Display"/>
          <w:b/>
          <w:color w:val="17365D"/>
          <w:sz w:val="25"/>
        </w:rPr>
        <w:t>4. Expand digital signalling and intelligent asset management</w:t>
      </w:r>
    </w:p>
    <w:p>
      <w:pPr>
        <w:spacing w:after="60" w:line="245" w:lineRule="auto"/>
      </w:pPr>
      <w:r>
        <w:rPr>
          <w:rFonts w:ascii="Aptos" w:hAnsi="Aptos"/>
          <w:color w:val="1F2937"/>
          <w:sz w:val="18"/>
        </w:rPr>
        <w:t>Use modern signalling, digital twins, predictive maintenance and AI-assisted analysis to improve capacity and reliability, with engineering oversight and cybersecurity.</w:t>
      </w:r>
    </w:p>
    <w:p>
      <w:pPr>
        <w:spacing w:before="60" w:after="80"/>
      </w:pPr>
      <w:r>
        <w:rPr>
          <w:rFonts w:ascii="Aptos Display" w:hAnsi="Aptos Display"/>
          <w:b/>
          <w:color w:val="17365D"/>
          <w:sz w:val="25"/>
        </w:rPr>
        <w:t>5. Strengthen regional and cross-country connectivity</w:t>
      </w:r>
    </w:p>
    <w:p>
      <w:pPr>
        <w:spacing w:after="60" w:line="245" w:lineRule="auto"/>
      </w:pPr>
      <w:r>
        <w:rPr>
          <w:rFonts w:ascii="Aptos" w:hAnsi="Aptos"/>
          <w:color w:val="1F2937"/>
          <w:sz w:val="18"/>
        </w:rPr>
        <w:t>Improve links between major regional centres and surrounding towns rather than concentrating investment mainly on journeys to and from London.</w:t>
      </w:r>
    </w:p>
    <w:tbl>
      <w:tblPr>
        <w:tblW w:type="auto" w:w="0"/>
        <w:jc w:val="center"/>
        <w:tblLayout w:type="fixed"/>
        <w:tblLook w:firstColumn="1" w:firstRow="1" w:lastColumn="0" w:lastRow="0" w:noHBand="0" w:noVBand="1" w:val="04A0"/>
      </w:tblPr>
      <w:tblGrid>
        <w:gridCol w:w="173"/>
        <w:gridCol w:w="9936"/>
      </w:tblGrid>
      <w:tr>
        <w:trPr>
          <w:cantSplit/>
        </w:trPr>
        <w:tc>
          <w:tcPr>
            <w:tcW w:type="dxa" w:w="5141"/>
            <w:shd w:fill="FD9D24"/>
          </w:tcPr>
          <w:p>
            <w:r/>
          </w:p>
        </w:tc>
        <w:tc>
          <w:tcPr>
            <w:tcW w:type="dxa" w:w="5141"/>
            <w:shd w:fill="FFF7EA"/>
            <w:vAlign w:val="center"/>
          </w:tcPr>
          <w:p>
            <w:pPr>
              <w:spacing w:after="20"/>
            </w:pPr>
            <w:r>
              <w:rPr>
                <w:b/>
                <w:color w:val="17365D"/>
                <w:sz w:val="19"/>
              </w:rPr>
              <w:t>Planning principle</w:t>
            </w:r>
          </w:p>
          <w:p>
            <w:pPr>
              <w:spacing w:after="0"/>
            </w:pPr>
            <w:r>
              <w:rPr>
                <w:color w:val="1F2937"/>
                <w:sz w:val="17"/>
              </w:rPr>
              <w:t>Upgrade the existing network first, then add major new capacity where evidence shows it is needed. This reduces the risk of pursuing prestige schemes while core assets remain unreliable.</w:t>
            </w:r>
          </w:p>
        </w:tc>
      </w:tr>
    </w:tbl>
    <w:p>
      <w:pPr>
        <w:spacing w:after="0"/>
      </w:pPr>
    </w:p>
    <w:p>
      <w:r>
        <w:br w:type="page"/>
      </w:r>
    </w:p>
    <w:p>
      <w:pPr>
        <w:spacing w:before="80" w:after="80"/>
        <w:pBdr>
          <w:bottom w:val="single" w:sz="8" w:space="2" w:color="0072CE"/>
        </w:pBdr>
      </w:pPr>
      <w:r>
        <w:rPr>
          <w:rFonts w:ascii="Aptos Display" w:hAnsi="Aptos Display"/>
          <w:b/>
          <w:color w:val="17365D"/>
          <w:sz w:val="34"/>
        </w:rPr>
        <w:t>2. Ten Priorities for a Future Railway - continued</w:t>
      </w:r>
    </w:p>
    <w:p>
      <w:pPr>
        <w:spacing w:before="60" w:after="80"/>
      </w:pPr>
      <w:r>
        <w:rPr>
          <w:rFonts w:ascii="Aptos Display" w:hAnsi="Aptos Display"/>
          <w:b/>
          <w:color w:val="17365D"/>
          <w:sz w:val="25"/>
        </w:rPr>
        <w:t>6. Integrate rail with local transport</w:t>
      </w:r>
    </w:p>
    <w:p>
      <w:pPr>
        <w:spacing w:after="60" w:line="245" w:lineRule="auto"/>
      </w:pPr>
      <w:r>
        <w:rPr>
          <w:rFonts w:ascii="Aptos" w:hAnsi="Aptos"/>
          <w:color w:val="1F2937"/>
          <w:sz w:val="18"/>
        </w:rPr>
        <w:t>Design stations as mobility hubs with coordinated buses, trams, walking, cycling, secure cycle parking and simpler passenger information.</w:t>
      </w:r>
    </w:p>
    <w:p>
      <w:pPr>
        <w:spacing w:before="60" w:after="80"/>
      </w:pPr>
      <w:r>
        <w:rPr>
          <w:rFonts w:ascii="Aptos Display" w:hAnsi="Aptos Display"/>
          <w:b/>
          <w:color w:val="17365D"/>
          <w:sz w:val="25"/>
        </w:rPr>
        <w:t>7. Make accessibility a core design requirement</w:t>
      </w:r>
    </w:p>
    <w:p>
      <w:pPr>
        <w:spacing w:after="60" w:line="245" w:lineRule="auto"/>
      </w:pPr>
      <w:r>
        <w:rPr>
          <w:rFonts w:ascii="Aptos" w:hAnsi="Aptos"/>
          <w:color w:val="1F2937"/>
          <w:sz w:val="18"/>
        </w:rPr>
        <w:t>Normalise step-free access, clear wayfinding, accessible toilets, lifts, tactile navigation, hearing support and reliable passenger assistance.</w:t>
      </w:r>
    </w:p>
    <w:p>
      <w:pPr>
        <w:spacing w:before="60" w:after="80"/>
      </w:pPr>
      <w:r>
        <w:rPr>
          <w:rFonts w:ascii="Aptos Display" w:hAnsi="Aptos Display"/>
          <w:b/>
          <w:color w:val="17365D"/>
          <w:sz w:val="25"/>
        </w:rPr>
        <w:t>8. Expand rail freight capability</w:t>
      </w:r>
    </w:p>
    <w:p>
      <w:pPr>
        <w:spacing w:after="60" w:line="245" w:lineRule="auto"/>
      </w:pPr>
      <w:r>
        <w:rPr>
          <w:rFonts w:ascii="Aptos" w:hAnsi="Aptos"/>
          <w:color w:val="1F2937"/>
          <w:sz w:val="18"/>
        </w:rPr>
        <w:t>Protect freight paths, improve terminal capacity, connect ports and logistics sites, and remove loading-gauge constraints where benefits justify investment.</w:t>
      </w:r>
    </w:p>
    <w:p>
      <w:pPr>
        <w:spacing w:before="60" w:after="80"/>
      </w:pPr>
      <w:r>
        <w:rPr>
          <w:rFonts w:ascii="Aptos Display" w:hAnsi="Aptos Display"/>
          <w:b/>
          <w:color w:val="17365D"/>
          <w:sz w:val="25"/>
        </w:rPr>
        <w:t>9. Design for climate resilience and biodiversity</w:t>
      </w:r>
    </w:p>
    <w:p>
      <w:pPr>
        <w:spacing w:after="60" w:line="245" w:lineRule="auto"/>
      </w:pPr>
      <w:r>
        <w:rPr>
          <w:rFonts w:ascii="Aptos" w:hAnsi="Aptos"/>
          <w:color w:val="1F2937"/>
          <w:sz w:val="18"/>
        </w:rPr>
        <w:t>Strengthen drainage, flood protection, heat resilience, slope monitoring and vegetation management while restoring habitats and reducing ecological damage.</w:t>
      </w:r>
    </w:p>
    <w:p>
      <w:pPr>
        <w:spacing w:before="60" w:after="80"/>
      </w:pPr>
      <w:r>
        <w:rPr>
          <w:rFonts w:ascii="Aptos Display" w:hAnsi="Aptos Display"/>
          <w:b/>
          <w:color w:val="17365D"/>
          <w:sz w:val="25"/>
        </w:rPr>
        <w:t>10. Build the future workforce</w:t>
      </w:r>
    </w:p>
    <w:p>
      <w:pPr>
        <w:spacing w:after="60" w:line="245" w:lineRule="auto"/>
      </w:pPr>
      <w:r>
        <w:rPr>
          <w:rFonts w:ascii="Aptos" w:hAnsi="Aptos"/>
          <w:color w:val="1F2937"/>
          <w:sz w:val="18"/>
        </w:rPr>
        <w:t>Expand apprenticeships and technical training in engineering, signalling, digital systems, cybersecurity, sustainability and project management, with structured knowledge transfer.</w:t>
      </w:r>
    </w:p>
    <w:tbl>
      <w:tblPr>
        <w:tblW w:type="auto" w:w="0"/>
        <w:jc w:val="center"/>
        <w:tblLayout w:type="fixed"/>
        <w:tblLook w:firstColumn="1" w:firstRow="1" w:lastColumn="0" w:lastRow="0" w:noHBand="0" w:noVBand="1" w:val="04A0"/>
      </w:tblPr>
      <w:tblGrid>
        <w:gridCol w:w="173"/>
        <w:gridCol w:w="9936"/>
      </w:tblGrid>
      <w:tr>
        <w:trPr>
          <w:cantSplit/>
        </w:trPr>
        <w:tc>
          <w:tcPr>
            <w:tcW w:type="dxa" w:w="5141"/>
            <w:shd w:fill="4C9F38"/>
          </w:tcPr>
          <w:p>
            <w:r/>
          </w:p>
        </w:tc>
        <w:tc>
          <w:tcPr>
            <w:tcW w:type="dxa" w:w="5141"/>
            <w:shd w:fill="EEF7EE"/>
            <w:vAlign w:val="center"/>
          </w:tcPr>
          <w:p>
            <w:pPr>
              <w:spacing w:after="20"/>
            </w:pPr>
            <w:r>
              <w:rPr>
                <w:b/>
                <w:color w:val="17365D"/>
                <w:sz w:val="19"/>
              </w:rPr>
              <w:t>Evidence of continuing demand</w:t>
            </w:r>
          </w:p>
          <w:p>
            <w:pPr>
              <w:spacing w:after="0"/>
            </w:pPr>
            <w:r>
              <w:rPr>
                <w:color w:val="1F2937"/>
                <w:sz w:val="17"/>
              </w:rPr>
              <w:t>ORR recorded 1.83 billion passenger journeys in Great Britain between April 2025 and March 2026. Long-term planning should therefore allow for high demand while recognising changing travel patterns.</w:t>
            </w:r>
          </w:p>
        </w:tc>
      </w:tr>
    </w:tbl>
    <w:p>
      <w:pPr>
        <w:spacing w:after="0"/>
      </w:pPr>
    </w:p>
    <w:p>
      <w:pPr>
        <w:spacing w:before="60" w:after="80"/>
      </w:pPr>
      <w:r>
        <w:rPr>
          <w:rFonts w:ascii="Aptos Display" w:hAnsi="Aptos Display"/>
          <w:b/>
          <w:color w:val="17365D"/>
          <w:sz w:val="25"/>
        </w:rPr>
        <w:t>Strategic outcome</w:t>
      </w:r>
    </w:p>
    <w:p>
      <w:pPr>
        <w:spacing w:after="60" w:line="245" w:lineRule="auto"/>
      </w:pPr>
      <w:r>
        <w:rPr>
          <w:rFonts w:ascii="Aptos" w:hAnsi="Aptos"/>
          <w:color w:val="1F2937"/>
          <w:sz w:val="18"/>
        </w:rPr>
        <w:t>The goal is not simply faster trains. It is a railway that increases productivity while improving accessibility, regional equality, resilience, workforce capability and environmental sustainability.</w:t>
      </w:r>
    </w:p>
    <w:p>
      <w:r>
        <w:br w:type="page"/>
      </w:r>
    </w:p>
    <w:p>
      <w:pPr>
        <w:spacing w:before="80" w:after="80"/>
        <w:pBdr>
          <w:bottom w:val="single" w:sz="8" w:space="2" w:color="0072CE"/>
        </w:pBdr>
      </w:pPr>
      <w:r>
        <w:rPr>
          <w:rFonts w:ascii="Aptos Display" w:hAnsi="Aptos Display"/>
          <w:b/>
          <w:color w:val="17365D"/>
          <w:sz w:val="34"/>
        </w:rPr>
        <w:t>3. SDG Rail Investment Scorecard</w:t>
      </w:r>
    </w:p>
    <w:p>
      <w:pPr>
        <w:spacing w:after="60" w:line="245" w:lineRule="auto"/>
      </w:pPr>
      <w:r>
        <w:rPr>
          <w:rFonts w:ascii="Aptos" w:hAnsi="Aptos"/>
          <w:color w:val="1F2937"/>
          <w:sz w:val="18"/>
        </w:rPr>
        <w:t>Major projects should not be judged on a single financial metric. A transparent scorecard can expose trade-offs and ensure that economic, social and environmental outcomes are considered together.</w:t>
      </w:r>
    </w:p>
    <w:tbl>
      <w:tblPr>
        <w:tblStyle w:val="TableGrid"/>
        <w:tblW w:type="auto" w:w="0"/>
        <w:jc w:val="center"/>
        <w:tblLook w:firstColumn="1" w:firstRow="1" w:lastColumn="0" w:lastRow="0" w:noHBand="0" w:noVBand="1" w:val="04A0"/>
      </w:tblPr>
      <w:tblGrid>
        <w:gridCol w:w="3427"/>
        <w:gridCol w:w="3427"/>
        <w:gridCol w:w="3427"/>
      </w:tblGrid>
      <w:tr>
        <w:trPr>
          <w:tblHeader w:val="true"/>
        </w:trPr>
        <w:tc>
          <w:tcPr>
            <w:tcW w:type="dxa" w:w="3427"/>
            <w:shd w:fill="17365D"/>
          </w:tcPr>
          <w:p>
            <w:r>
              <w:rPr>
                <w:b/>
                <w:color w:val="FFFFFF"/>
                <w:sz w:val="16"/>
              </w:rPr>
              <w:t>Assessment area</w:t>
            </w:r>
          </w:p>
        </w:tc>
        <w:tc>
          <w:tcPr>
            <w:tcW w:type="dxa" w:w="3427"/>
            <w:shd w:fill="17365D"/>
          </w:tcPr>
          <w:p>
            <w:r>
              <w:rPr>
                <w:b/>
                <w:color w:val="FFFFFF"/>
                <w:sz w:val="16"/>
              </w:rPr>
              <w:t>Key question</w:t>
            </w:r>
          </w:p>
        </w:tc>
        <w:tc>
          <w:tcPr>
            <w:tcW w:type="dxa" w:w="3427"/>
            <w:shd w:fill="17365D"/>
          </w:tcPr>
          <w:p>
            <w:r>
              <w:rPr>
                <w:b/>
                <w:color w:val="FFFFFF"/>
                <w:sz w:val="16"/>
              </w:rPr>
              <w:t>Illustrative weight</w:t>
            </w:r>
          </w:p>
        </w:tc>
      </w:tr>
      <w:tr>
        <w:trPr>
          <w:cantSplit/>
        </w:trPr>
        <w:tc>
          <w:tcPr>
            <w:tcW w:type="dxa" w:w="3427"/>
            <w:shd w:fill="EAF2F8"/>
          </w:tcPr>
          <w:p>
            <w:r>
              <w:rPr>
                <w:sz w:val="15"/>
              </w:rPr>
              <w:t>Strategic fit</w:t>
            </w:r>
          </w:p>
        </w:tc>
        <w:tc>
          <w:tcPr>
            <w:tcW w:type="dxa" w:w="3427"/>
          </w:tcPr>
          <w:p>
            <w:r>
              <w:rPr>
                <w:sz w:val="15"/>
              </w:rPr>
              <w:t>Supports national and regional plans?</w:t>
            </w:r>
          </w:p>
        </w:tc>
        <w:tc>
          <w:tcPr>
            <w:tcW w:type="dxa" w:w="3427"/>
          </w:tcPr>
          <w:p>
            <w:r>
              <w:rPr>
                <w:sz w:val="15"/>
              </w:rPr>
              <w:t>15%</w:t>
            </w:r>
          </w:p>
        </w:tc>
      </w:tr>
      <w:tr>
        <w:trPr>
          <w:cantSplit/>
        </w:trPr>
        <w:tc>
          <w:tcPr>
            <w:tcW w:type="dxa" w:w="3427"/>
            <w:shd w:fill="EAF2F8"/>
          </w:tcPr>
          <w:p>
            <w:r>
              <w:rPr>
                <w:sz w:val="15"/>
              </w:rPr>
              <w:t>Capacity &amp; reliability</w:t>
            </w:r>
          </w:p>
        </w:tc>
        <w:tc>
          <w:tcPr>
            <w:tcW w:type="dxa" w:w="3427"/>
          </w:tcPr>
          <w:p>
            <w:r>
              <w:rPr>
                <w:sz w:val="15"/>
              </w:rPr>
              <w:t>Improves performance, resilience or capacity?</w:t>
            </w:r>
          </w:p>
        </w:tc>
        <w:tc>
          <w:tcPr>
            <w:tcW w:type="dxa" w:w="3427"/>
          </w:tcPr>
          <w:p>
            <w:r>
              <w:rPr>
                <w:sz w:val="15"/>
              </w:rPr>
              <w:t>15%</w:t>
            </w:r>
          </w:p>
        </w:tc>
      </w:tr>
      <w:tr>
        <w:trPr>
          <w:cantSplit/>
        </w:trPr>
        <w:tc>
          <w:tcPr>
            <w:tcW w:type="dxa" w:w="3427"/>
            <w:shd w:fill="EAF2F8"/>
          </w:tcPr>
          <w:p>
            <w:r>
              <w:rPr>
                <w:sz w:val="15"/>
              </w:rPr>
              <w:t>Economic value</w:t>
            </w:r>
          </w:p>
        </w:tc>
        <w:tc>
          <w:tcPr>
            <w:tcW w:type="dxa" w:w="3427"/>
          </w:tcPr>
          <w:p>
            <w:r>
              <w:rPr>
                <w:sz w:val="15"/>
              </w:rPr>
              <w:t>Improves productivity, freight, jobs or access?</w:t>
            </w:r>
          </w:p>
        </w:tc>
        <w:tc>
          <w:tcPr>
            <w:tcW w:type="dxa" w:w="3427"/>
          </w:tcPr>
          <w:p>
            <w:r>
              <w:rPr>
                <w:sz w:val="15"/>
              </w:rPr>
              <w:t>15%</w:t>
            </w:r>
          </w:p>
        </w:tc>
      </w:tr>
      <w:tr>
        <w:trPr>
          <w:cantSplit/>
        </w:trPr>
        <w:tc>
          <w:tcPr>
            <w:tcW w:type="dxa" w:w="3427"/>
            <w:shd w:fill="EAF2F8"/>
          </w:tcPr>
          <w:p>
            <w:r>
              <w:rPr>
                <w:sz w:val="15"/>
              </w:rPr>
              <w:t>Accessibility &amp; equality</w:t>
            </w:r>
          </w:p>
        </w:tc>
        <w:tc>
          <w:tcPr>
            <w:tcW w:type="dxa" w:w="3427"/>
          </w:tcPr>
          <w:p>
            <w:r>
              <w:rPr>
                <w:sz w:val="15"/>
              </w:rPr>
              <w:t>Reduces barriers for disabled, rural or deprived communities?</w:t>
            </w:r>
          </w:p>
        </w:tc>
        <w:tc>
          <w:tcPr>
            <w:tcW w:type="dxa" w:w="3427"/>
          </w:tcPr>
          <w:p>
            <w:r>
              <w:rPr>
                <w:sz w:val="15"/>
              </w:rPr>
              <w:t>15%</w:t>
            </w:r>
          </w:p>
        </w:tc>
      </w:tr>
      <w:tr>
        <w:trPr>
          <w:cantSplit/>
        </w:trPr>
        <w:tc>
          <w:tcPr>
            <w:tcW w:type="dxa" w:w="3427"/>
            <w:shd w:fill="EAF2F8"/>
          </w:tcPr>
          <w:p>
            <w:r>
              <w:rPr>
                <w:sz w:val="15"/>
              </w:rPr>
              <w:t>Climate</w:t>
            </w:r>
          </w:p>
        </w:tc>
        <w:tc>
          <w:tcPr>
            <w:tcW w:type="dxa" w:w="3427"/>
          </w:tcPr>
          <w:p>
            <w:r>
              <w:rPr>
                <w:sz w:val="15"/>
              </w:rPr>
              <w:t>Whole-life carbon and modal-shift impact?</w:t>
            </w:r>
          </w:p>
        </w:tc>
        <w:tc>
          <w:tcPr>
            <w:tcW w:type="dxa" w:w="3427"/>
          </w:tcPr>
          <w:p>
            <w:r>
              <w:rPr>
                <w:sz w:val="15"/>
              </w:rPr>
              <w:t>10%</w:t>
            </w:r>
          </w:p>
        </w:tc>
      </w:tr>
      <w:tr>
        <w:trPr>
          <w:cantSplit/>
        </w:trPr>
        <w:tc>
          <w:tcPr>
            <w:tcW w:type="dxa" w:w="3427"/>
            <w:shd w:fill="EAF2F8"/>
          </w:tcPr>
          <w:p>
            <w:r>
              <w:rPr>
                <w:sz w:val="15"/>
              </w:rPr>
              <w:t>Nature &amp; resources</w:t>
            </w:r>
          </w:p>
        </w:tc>
        <w:tc>
          <w:tcPr>
            <w:tcW w:type="dxa" w:w="3427"/>
          </w:tcPr>
          <w:p>
            <w:r>
              <w:rPr>
                <w:sz w:val="15"/>
              </w:rPr>
              <w:t>Biodiversity, water, materials and waste?</w:t>
            </w:r>
          </w:p>
        </w:tc>
        <w:tc>
          <w:tcPr>
            <w:tcW w:type="dxa" w:w="3427"/>
          </w:tcPr>
          <w:p>
            <w:r>
              <w:rPr>
                <w:sz w:val="15"/>
              </w:rPr>
              <w:t>10%</w:t>
            </w:r>
          </w:p>
        </w:tc>
      </w:tr>
      <w:tr>
        <w:trPr>
          <w:cantSplit/>
        </w:trPr>
        <w:tc>
          <w:tcPr>
            <w:tcW w:type="dxa" w:w="3427"/>
            <w:shd w:fill="EAF2F8"/>
          </w:tcPr>
          <w:p>
            <w:r>
              <w:rPr>
                <w:sz w:val="15"/>
              </w:rPr>
              <w:t>Deliverability</w:t>
            </w:r>
          </w:p>
        </w:tc>
        <w:tc>
          <w:tcPr>
            <w:tcW w:type="dxa" w:w="3427"/>
          </w:tcPr>
          <w:p>
            <w:r>
              <w:rPr>
                <w:sz w:val="15"/>
              </w:rPr>
              <w:t>Credible scope, cost, skills and interfaces?</w:t>
            </w:r>
          </w:p>
        </w:tc>
        <w:tc>
          <w:tcPr>
            <w:tcW w:type="dxa" w:w="3427"/>
          </w:tcPr>
          <w:p>
            <w:r>
              <w:rPr>
                <w:sz w:val="15"/>
              </w:rPr>
              <w:t>10%</w:t>
            </w:r>
          </w:p>
        </w:tc>
      </w:tr>
      <w:tr>
        <w:trPr>
          <w:cantSplit/>
        </w:trPr>
        <w:tc>
          <w:tcPr>
            <w:tcW w:type="dxa" w:w="3427"/>
            <w:shd w:fill="EAF2F8"/>
          </w:tcPr>
          <w:p>
            <w:r>
              <w:rPr>
                <w:sz w:val="15"/>
              </w:rPr>
              <w:t>Partnership &amp; public value</w:t>
            </w:r>
          </w:p>
        </w:tc>
        <w:tc>
          <w:tcPr>
            <w:tcW w:type="dxa" w:w="3427"/>
          </w:tcPr>
          <w:p>
            <w:r>
              <w:rPr>
                <w:sz w:val="15"/>
              </w:rPr>
              <w:t>Meaningful local and stakeholder involvement?</w:t>
            </w:r>
          </w:p>
        </w:tc>
        <w:tc>
          <w:tcPr>
            <w:tcW w:type="dxa" w:w="3427"/>
          </w:tcPr>
          <w:p>
            <w:r>
              <w:rPr>
                <w:sz w:val="15"/>
              </w:rPr>
              <w:t>10%</w:t>
            </w:r>
          </w:p>
        </w:tc>
      </w:tr>
    </w:tbl>
    <w:p>
      <w:pPr>
        <w:spacing w:before="80" w:after="80"/>
        <w:pBdr>
          <w:bottom w:val="single" w:sz="8" w:space="2" w:color="0072CE"/>
        </w:pBdr>
      </w:pPr>
      <w:r>
        <w:rPr>
          <w:rFonts w:ascii="Aptos Display" w:hAnsi="Aptos Display"/>
          <w:b/>
          <w:color w:val="17365D"/>
          <w:sz w:val="34"/>
        </w:rPr>
        <w:t>4. Collaborative Strategic Testing</w:t>
      </w:r>
    </w:p>
    <w:p>
      <w:pPr>
        <w:spacing w:after="60" w:line="245" w:lineRule="auto"/>
      </w:pPr>
      <w:r>
        <w:rPr>
          <w:rFonts w:ascii="Aptos" w:hAnsi="Aptos"/>
          <w:color w:val="1F2937"/>
          <w:sz w:val="18"/>
        </w:rPr>
        <w:t>Two teams can test the same strategic question from different perspectives instead of asking one team to validate a preferred answer.</w:t>
      </w:r>
    </w:p>
    <w:tbl>
      <w:tblPr>
        <w:tblStyle w:val="TableGrid"/>
        <w:tblW w:type="auto" w:w="0"/>
        <w:jc w:val="center"/>
        <w:tblLook w:firstColumn="1" w:firstRow="1" w:lastColumn="0" w:lastRow="0" w:noHBand="0" w:noVBand="1" w:val="04A0"/>
      </w:tblPr>
      <w:tblGrid>
        <w:gridCol w:w="5141"/>
        <w:gridCol w:w="5141"/>
      </w:tblGrid>
      <w:tr>
        <w:tc>
          <w:tcPr>
            <w:tcW w:type="dxa" w:w="5141"/>
            <w:shd w:fill="0072CE"/>
          </w:tcPr>
          <w:p>
            <w:r>
              <w:rPr>
                <w:b/>
                <w:color w:val="FFFFFF"/>
                <w:sz w:val="16"/>
              </w:rPr>
              <w:t>Team A - Capacity &amp; Economic Lens</w:t>
            </w:r>
          </w:p>
        </w:tc>
        <w:tc>
          <w:tcPr>
            <w:tcW w:type="dxa" w:w="5141"/>
            <w:shd w:fill="4C9F38"/>
          </w:tcPr>
          <w:p>
            <w:r>
              <w:rPr>
                <w:b/>
                <w:color w:val="FFFFFF"/>
                <w:sz w:val="16"/>
              </w:rPr>
              <w:t>Team B - Social &amp; Environmental Lens</w:t>
            </w:r>
          </w:p>
        </w:tc>
      </w:tr>
      <w:tr>
        <w:tc>
          <w:tcPr>
            <w:tcW w:type="dxa" w:w="5141"/>
          </w:tcPr>
          <w:p>
            <w:r>
              <w:rPr>
                <w:sz w:val="15"/>
              </w:rPr>
              <w:t>Demand, journey time, capacity, costs, productivity, freight, jobs and deliverability.</w:t>
            </w:r>
          </w:p>
        </w:tc>
        <w:tc>
          <w:tcPr>
            <w:tcW w:type="dxa" w:w="5141"/>
          </w:tcPr>
          <w:p>
            <w:r>
              <w:rPr>
                <w:sz w:val="15"/>
              </w:rPr>
              <w:t>Accessibility, rural inclusion, affordability, climate, biodiversity, health and community impact.</w:t>
            </w:r>
          </w:p>
        </w:tc>
      </w:tr>
    </w:tbl>
    <w:p>
      <w:pPr>
        <w:spacing w:after="60" w:line="245" w:lineRule="auto"/>
      </w:pPr>
      <w:r>
        <w:rPr>
          <w:rFonts w:ascii="Aptos" w:hAnsi="Aptos"/>
          <w:color w:val="1F2937"/>
          <w:sz w:val="18"/>
        </w:rPr>
        <w:t>If both approaches reach a similar conclusion, confidence strengthens. If they differ, the disagreement identifies assumptions, distributional effects or risks that need further investigation.</w:t>
      </w:r>
    </w:p>
    <w:p>
      <w:r>
        <w:br w:type="page"/>
      </w:r>
    </w:p>
    <w:p>
      <w:pPr>
        <w:spacing w:before="80" w:after="80"/>
        <w:pBdr>
          <w:bottom w:val="single" w:sz="8" w:space="2" w:color="0072CE"/>
        </w:pBdr>
      </w:pPr>
      <w:r>
        <w:rPr>
          <w:rFonts w:ascii="Aptos Display" w:hAnsi="Aptos Display"/>
          <w:b/>
          <w:color w:val="17365D"/>
          <w:sz w:val="34"/>
        </w:rPr>
        <w:t>5. Delivery Roadmap</w:t>
      </w:r>
    </w:p>
    <w:p>
      <w:pPr>
        <w:spacing w:before="60" w:after="80"/>
      </w:pPr>
      <w:r>
        <w:rPr>
          <w:rFonts w:ascii="Aptos Display" w:hAnsi="Aptos Display"/>
          <w:b/>
          <w:color w:val="17365D"/>
          <w:sz w:val="25"/>
        </w:rPr>
        <w:t>2026-2030 | Stabilise and prepare</w:t>
      </w:r>
    </w:p>
    <w:p>
      <w:pPr>
        <w:pStyle w:val="ListBullet"/>
        <w:spacing w:after="40"/>
        <w:ind w:left="288"/>
      </w:pPr>
      <w:r>
        <w:rPr>
          <w:color w:val="1F2937"/>
          <w:sz w:val="18"/>
        </w:rPr>
        <w:t>Accelerate renewals of high-risk assets, drainage and resilience measures.</w:t>
      </w:r>
    </w:p>
    <w:p>
      <w:pPr>
        <w:pStyle w:val="ListBullet"/>
        <w:spacing w:after="40"/>
        <w:ind w:left="288"/>
      </w:pPr>
      <w:r>
        <w:rPr>
          <w:color w:val="1F2937"/>
          <w:sz w:val="18"/>
        </w:rPr>
        <w:t>Improve accessibility and passenger information at priority stations.</w:t>
      </w:r>
    </w:p>
    <w:p>
      <w:pPr>
        <w:pStyle w:val="ListBullet"/>
        <w:spacing w:after="40"/>
        <w:ind w:left="288"/>
      </w:pPr>
      <w:r>
        <w:rPr>
          <w:color w:val="1F2937"/>
          <w:sz w:val="18"/>
        </w:rPr>
        <w:t>Develop rolling electrification and digital-signalling pipelines.</w:t>
      </w:r>
    </w:p>
    <w:p>
      <w:pPr>
        <w:pStyle w:val="ListBullet"/>
        <w:spacing w:after="40"/>
        <w:ind w:left="288"/>
      </w:pPr>
      <w:r>
        <w:rPr>
          <w:color w:val="1F2937"/>
          <w:sz w:val="18"/>
        </w:rPr>
        <w:t>Map skills shortages and expand apprenticeships.</w:t>
      </w:r>
    </w:p>
    <w:p>
      <w:pPr>
        <w:pStyle w:val="ListBullet"/>
        <w:spacing w:after="40"/>
        <w:ind w:left="288"/>
      </w:pPr>
      <w:r>
        <w:rPr>
          <w:color w:val="1F2937"/>
          <w:sz w:val="18"/>
        </w:rPr>
        <w:t>Establish common SDG and whole-life carbon assessment methods.</w:t>
      </w:r>
    </w:p>
    <w:p>
      <w:pPr>
        <w:spacing w:before="60" w:after="80"/>
      </w:pPr>
      <w:r>
        <w:rPr>
          <w:rFonts w:ascii="Aptos Display" w:hAnsi="Aptos Display"/>
          <w:b/>
          <w:color w:val="17365D"/>
          <w:sz w:val="25"/>
        </w:rPr>
        <w:t>2030-2040 | Modernise and connect</w:t>
      </w:r>
    </w:p>
    <w:p>
      <w:pPr>
        <w:pStyle w:val="ListBullet"/>
        <w:spacing w:after="40"/>
        <w:ind w:left="288"/>
      </w:pPr>
      <w:r>
        <w:rPr>
          <w:color w:val="1F2937"/>
          <w:sz w:val="18"/>
        </w:rPr>
        <w:t>Deliver sustained electrification and digital signalling on priority corridors.</w:t>
      </w:r>
    </w:p>
    <w:p>
      <w:pPr>
        <w:pStyle w:val="ListBullet"/>
        <w:spacing w:after="40"/>
        <w:ind w:left="288"/>
      </w:pPr>
      <w:r>
        <w:rPr>
          <w:color w:val="1F2937"/>
          <w:sz w:val="18"/>
        </w:rPr>
        <w:t>Strengthen regional and cross-country services and interchange hubs.</w:t>
      </w:r>
    </w:p>
    <w:p>
      <w:pPr>
        <w:pStyle w:val="ListBullet"/>
        <w:spacing w:after="40"/>
        <w:ind w:left="288"/>
      </w:pPr>
      <w:r>
        <w:rPr>
          <w:color w:val="1F2937"/>
          <w:sz w:val="18"/>
        </w:rPr>
        <w:t>Expand freight capacity and port/logistics connectivity.</w:t>
      </w:r>
    </w:p>
    <w:p>
      <w:pPr>
        <w:pStyle w:val="ListBullet"/>
        <w:spacing w:after="40"/>
        <w:ind w:left="288"/>
      </w:pPr>
      <w:r>
        <w:rPr>
          <w:color w:val="1F2937"/>
          <w:sz w:val="18"/>
        </w:rPr>
        <w:t>Integrate ticketing, information and local transport planning.</w:t>
      </w:r>
    </w:p>
    <w:p>
      <w:pPr>
        <w:pStyle w:val="ListBullet"/>
        <w:spacing w:after="40"/>
        <w:ind w:left="288"/>
      </w:pPr>
      <w:r>
        <w:rPr>
          <w:color w:val="1F2937"/>
          <w:sz w:val="18"/>
        </w:rPr>
        <w:t>Scale climate-adaptation and biodiversity programmes.</w:t>
      </w:r>
    </w:p>
    <w:p>
      <w:pPr>
        <w:spacing w:before="60" w:after="80"/>
      </w:pPr>
      <w:r>
        <w:rPr>
          <w:rFonts w:ascii="Aptos Display" w:hAnsi="Aptos Display"/>
          <w:b/>
          <w:color w:val="17365D"/>
          <w:sz w:val="25"/>
        </w:rPr>
        <w:t>2040-2060 | Expand where evidence supports it</w:t>
      </w:r>
    </w:p>
    <w:p>
      <w:pPr>
        <w:pStyle w:val="ListBullet"/>
        <w:spacing w:after="40"/>
        <w:ind w:left="288"/>
      </w:pPr>
      <w:r>
        <w:rPr>
          <w:color w:val="1F2937"/>
          <w:sz w:val="18"/>
        </w:rPr>
        <w:t>Deliver new corridors, additional tracks or major capacity where public value is proven.</w:t>
      </w:r>
    </w:p>
    <w:p>
      <w:pPr>
        <w:pStyle w:val="ListBullet"/>
        <w:spacing w:after="40"/>
        <w:ind w:left="288"/>
      </w:pPr>
      <w:r>
        <w:rPr>
          <w:color w:val="1F2937"/>
          <w:sz w:val="18"/>
        </w:rPr>
        <w:t>Replace life-expired infrastructure with lower-carbon, digitally managed assets.</w:t>
      </w:r>
    </w:p>
    <w:p>
      <w:pPr>
        <w:pStyle w:val="ListBullet"/>
        <w:spacing w:after="40"/>
        <w:ind w:left="288"/>
      </w:pPr>
      <w:r>
        <w:rPr>
          <w:color w:val="1F2937"/>
          <w:sz w:val="18"/>
        </w:rPr>
        <w:t>Design future rolling stock and stations around universal accessibility.</w:t>
      </w:r>
    </w:p>
    <w:p>
      <w:pPr>
        <w:pStyle w:val="ListBullet"/>
        <w:spacing w:after="40"/>
        <w:ind w:left="288"/>
      </w:pPr>
      <w:r>
        <w:rPr>
          <w:color w:val="1F2937"/>
          <w:sz w:val="18"/>
        </w:rPr>
        <w:t>Maintain long-term workforce pipelines and intergenerational skills transfer.</w:t>
      </w:r>
    </w:p>
    <w:p>
      <w:pPr>
        <w:pStyle w:val="ListBullet"/>
        <w:spacing w:after="40"/>
        <w:ind w:left="288"/>
      </w:pPr>
      <w:r>
        <w:rPr>
          <w:color w:val="1F2937"/>
          <w:sz w:val="18"/>
        </w:rPr>
        <w:t>Review outcomes against economic, social and environmental measures.</w:t>
      </w:r>
    </w:p>
    <w:tbl>
      <w:tblPr>
        <w:tblW w:type="auto" w:w="0"/>
        <w:jc w:val="center"/>
        <w:tblLayout w:type="fixed"/>
        <w:tblLook w:firstColumn="1" w:firstRow="1" w:lastColumn="0" w:lastRow="0" w:noHBand="0" w:noVBand="1" w:val="04A0"/>
      </w:tblPr>
      <w:tblGrid>
        <w:gridCol w:w="173"/>
        <w:gridCol w:w="9936"/>
      </w:tblGrid>
      <w:tr>
        <w:trPr>
          <w:cantSplit/>
        </w:trPr>
        <w:tc>
          <w:tcPr>
            <w:tcW w:type="dxa" w:w="5141"/>
            <w:shd w:fill="FD9D24"/>
          </w:tcPr>
          <w:p>
            <w:r/>
          </w:p>
        </w:tc>
        <w:tc>
          <w:tcPr>
            <w:tcW w:type="dxa" w:w="5141"/>
            <w:shd w:fill="FFF7EA"/>
            <w:vAlign w:val="center"/>
          </w:tcPr>
          <w:p>
            <w:pPr>
              <w:spacing w:after="20"/>
            </w:pPr>
            <w:r>
              <w:rPr>
                <w:b/>
                <w:color w:val="17365D"/>
                <w:sz w:val="19"/>
              </w:rPr>
              <w:t>Decision rule</w:t>
            </w:r>
          </w:p>
          <w:p>
            <w:pPr>
              <w:spacing w:after="0"/>
            </w:pPr>
            <w:r>
              <w:rPr>
                <w:color w:val="1F2937"/>
                <w:sz w:val="17"/>
              </w:rPr>
              <w:t>Do not treat the roadmap as a fixed construction list. Each investment should be re-tested against evidence, demand, technology, climate risk and distributional impact before commitment.</w:t>
            </w:r>
          </w:p>
        </w:tc>
      </w:tr>
    </w:tbl>
    <w:p>
      <w:pPr>
        <w:spacing w:after="0"/>
      </w:pPr>
    </w:p>
    <w:p>
      <w:r>
        <w:br w:type="page"/>
      </w:r>
    </w:p>
    <w:p>
      <w:pPr>
        <w:spacing w:before="80" w:after="80"/>
        <w:pBdr>
          <w:bottom w:val="single" w:sz="8" w:space="2" w:color="0072CE"/>
        </w:pBdr>
      </w:pPr>
      <w:r>
        <w:rPr>
          <w:rFonts w:ascii="Aptos Display" w:hAnsi="Aptos Display"/>
          <w:b/>
          <w:color w:val="17365D"/>
          <w:sz w:val="34"/>
        </w:rPr>
        <w:t>6. Governance and Accountability</w:t>
      </w:r>
    </w:p>
    <w:p>
      <w:pPr>
        <w:pStyle w:val="ListBullet"/>
        <w:spacing w:after="40"/>
        <w:ind w:left="288"/>
      </w:pPr>
      <w:r>
        <w:rPr>
          <w:color w:val="1F2937"/>
          <w:sz w:val="18"/>
        </w:rPr>
        <w:t>Publish a clear national rail strategy with measurable outcomes and five-year reviews.</w:t>
      </w:r>
    </w:p>
    <w:p>
      <w:pPr>
        <w:pStyle w:val="ListBullet"/>
        <w:spacing w:after="40"/>
        <w:ind w:left="288"/>
      </w:pPr>
      <w:r>
        <w:rPr>
          <w:color w:val="1F2937"/>
          <w:sz w:val="18"/>
        </w:rPr>
        <w:t>Require business cases to show SDG, accessibility, climate and whole-life value.</w:t>
      </w:r>
    </w:p>
    <w:p>
      <w:pPr>
        <w:pStyle w:val="ListBullet"/>
        <w:spacing w:after="40"/>
        <w:ind w:left="288"/>
      </w:pPr>
      <w:r>
        <w:rPr>
          <w:color w:val="1F2937"/>
          <w:sz w:val="18"/>
        </w:rPr>
        <w:t>Use independent assurance for major schemes, including challenge of assumptions and optimism bias.</w:t>
      </w:r>
    </w:p>
    <w:p>
      <w:pPr>
        <w:pStyle w:val="ListBullet"/>
        <w:spacing w:after="40"/>
        <w:ind w:left="288"/>
      </w:pPr>
      <w:r>
        <w:rPr>
          <w:color w:val="1F2937"/>
          <w:sz w:val="18"/>
        </w:rPr>
        <w:t>Publish benefit-realisation measures after opening, not only during project approval.</w:t>
      </w:r>
    </w:p>
    <w:p>
      <w:pPr>
        <w:pStyle w:val="ListBullet"/>
        <w:spacing w:after="40"/>
        <w:ind w:left="288"/>
      </w:pPr>
      <w:r>
        <w:rPr>
          <w:color w:val="1F2937"/>
          <w:sz w:val="18"/>
        </w:rPr>
        <w:t>Give devolved governments, mayoral authorities, councils, freight users, passenger groups and communities defined planning roles.</w:t>
      </w:r>
    </w:p>
    <w:p>
      <w:pPr>
        <w:pStyle w:val="ListBullet"/>
        <w:spacing w:after="40"/>
        <w:ind w:left="288"/>
      </w:pPr>
      <w:r>
        <w:rPr>
          <w:color w:val="1F2937"/>
          <w:sz w:val="18"/>
        </w:rPr>
        <w:t>Use AI and data as decision-support tools, with traceable evidence, human accountability and regular review.</w:t>
      </w:r>
    </w:p>
    <w:p>
      <w:pPr>
        <w:spacing w:before="80" w:after="80"/>
        <w:pBdr>
          <w:bottom w:val="single" w:sz="8" w:space="2" w:color="0072CE"/>
        </w:pBdr>
      </w:pPr>
      <w:r>
        <w:rPr>
          <w:rFonts w:ascii="Aptos Display" w:hAnsi="Aptos Display"/>
          <w:b/>
          <w:color w:val="17365D"/>
          <w:sz w:val="34"/>
        </w:rPr>
        <w:t>7. Portfolio, Programme and Project Planning</w:t>
      </w:r>
    </w:p>
    <w:p>
      <w:pPr>
        <w:spacing w:after="60" w:line="245" w:lineRule="auto"/>
      </w:pPr>
      <w:r>
        <w:rPr>
          <w:rFonts w:ascii="Aptos" w:hAnsi="Aptos"/>
          <w:color w:val="1F2937"/>
          <w:sz w:val="18"/>
        </w:rPr>
        <w:t>The strategy should flow from portfolio decisions into programmes and projects. Portfolio management chooses the investments that best advance long-term outcomes; programmes coordinate related change; projects deliver specific infrastructure or service outputs.</w:t>
      </w:r>
    </w:p>
    <w:tbl>
      <w:tblPr>
        <w:tblW w:type="auto" w:w="0"/>
        <w:jc w:val="center"/>
        <w:tblLayout w:type="fixed"/>
        <w:tblLook w:firstColumn="1" w:firstRow="1" w:lastColumn="0" w:lastRow="0" w:noHBand="0" w:noVBand="1" w:val="04A0"/>
      </w:tblPr>
      <w:tblGrid>
        <w:gridCol w:w="173"/>
        <w:gridCol w:w="9936"/>
      </w:tblGrid>
      <w:tr>
        <w:trPr>
          <w:cantSplit/>
        </w:trPr>
        <w:tc>
          <w:tcPr>
            <w:tcW w:type="dxa" w:w="5141"/>
            <w:shd w:fill="0072CE"/>
          </w:tcPr>
          <w:p>
            <w:r/>
          </w:p>
        </w:tc>
        <w:tc>
          <w:tcPr>
            <w:tcW w:type="dxa" w:w="5141"/>
            <w:shd w:fill="EEF4FA"/>
            <w:vAlign w:val="center"/>
          </w:tcPr>
          <w:p>
            <w:pPr>
              <w:spacing w:after="20"/>
            </w:pPr>
            <w:r>
              <w:rPr>
                <w:b/>
                <w:color w:val="17365D"/>
                <w:sz w:val="19"/>
              </w:rPr>
              <w:t>Planning chain</w:t>
            </w:r>
          </w:p>
          <w:p>
            <w:pPr>
              <w:spacing w:after="0"/>
            </w:pPr>
            <w:r>
              <w:rPr>
                <w:color w:val="1F2937"/>
                <w:sz w:val="17"/>
              </w:rPr>
              <w:t>Strategy -&gt; Portfolio priorities -&gt; Programmes -&gt; Projects -&gt; Benefits -&gt; Measurement -&gt; Lessons learned -&gt; Strategy review</w:t>
            </w:r>
          </w:p>
        </w:tc>
      </w:tr>
    </w:tbl>
    <w:p>
      <w:pPr>
        <w:spacing w:after="0"/>
      </w:pPr>
    </w:p>
    <w:p>
      <w:pPr>
        <w:spacing w:before="60" w:after="80"/>
      </w:pPr>
      <w:r>
        <w:rPr>
          <w:rFonts w:ascii="Aptos Display" w:hAnsi="Aptos Display"/>
          <w:b/>
          <w:color w:val="17365D"/>
          <w:sz w:val="25"/>
        </w:rPr>
        <w:t>Human-centred delivery</w:t>
      </w:r>
    </w:p>
    <w:p>
      <w:pPr>
        <w:spacing w:after="60" w:line="245" w:lineRule="auto"/>
      </w:pPr>
      <w:r>
        <w:rPr>
          <w:rFonts w:ascii="Aptos" w:hAnsi="Aptos"/>
          <w:color w:val="1F2937"/>
          <w:sz w:val="18"/>
        </w:rPr>
        <w:t>Clear purpose and roles should be combined with appropriate autonomy. Managers should govern risks, dependencies, outcomes and standards without micromanaging every activity. Teams should understand what they are delivering, why it matters and how their work contributes to the wider public outcome.</w:t>
      </w:r>
    </w:p>
    <w:p>
      <w:pPr>
        <w:spacing w:before="60" w:after="80"/>
      </w:pPr>
      <w:r>
        <w:rPr>
          <w:rFonts w:ascii="Aptos Display" w:hAnsi="Aptos Display"/>
          <w:b/>
          <w:color w:val="17365D"/>
          <w:sz w:val="25"/>
        </w:rPr>
        <w:t>AI-supported strategic thinking</w:t>
      </w:r>
    </w:p>
    <w:p>
      <w:pPr>
        <w:spacing w:after="60" w:line="245" w:lineRule="auto"/>
      </w:pPr>
      <w:r>
        <w:rPr>
          <w:rFonts w:ascii="Aptos" w:hAnsi="Aptos"/>
          <w:color w:val="1F2937"/>
          <w:sz w:val="18"/>
        </w:rPr>
        <w:t>Historical evidence, current data and future trends can be used to form hypotheses, compare scenarios and challenge assumptions. AI can support the analysis, but important conclusions should remain evidence-based, explain uncertainty and retain human accountability.</w:t>
      </w:r>
    </w:p>
    <w:p>
      <w:r>
        <w:br w:type="page"/>
      </w:r>
    </w:p>
    <w:p>
      <w:pPr>
        <w:spacing w:before="80" w:after="80"/>
        <w:pBdr>
          <w:bottom w:val="single" w:sz="8" w:space="2" w:color="0072CE"/>
        </w:pBdr>
      </w:pPr>
      <w:r>
        <w:rPr>
          <w:rFonts w:ascii="Aptos Display" w:hAnsi="Aptos Display"/>
          <w:b/>
          <w:color w:val="17365D"/>
          <w:sz w:val="34"/>
        </w:rPr>
        <w:t>8. Conclusion</w:t>
      </w:r>
    </w:p>
    <w:p>
      <w:pPr>
        <w:spacing w:after="60" w:line="245" w:lineRule="auto"/>
      </w:pPr>
      <w:r>
        <w:rPr>
          <w:rFonts w:ascii="Aptos" w:hAnsi="Aptos"/>
          <w:color w:val="1F2937"/>
          <w:sz w:val="18"/>
        </w:rPr>
        <w:t>A future UK railway should be planned as a national system for economic opportunity, social inclusion and environmental stewardship. The SDGs provide a useful decision framework because they force infrastructure planning to consider who benefits, who may be excluded, what environmental costs are created, how resilient the system will be, and whether investment builds capability for future generations.</w:t>
      </w:r>
    </w:p>
    <w:tbl>
      <w:tblPr>
        <w:tblW w:type="auto" w:w="0"/>
        <w:jc w:val="center"/>
        <w:tblLayout w:type="fixed"/>
        <w:tblLook w:firstColumn="1" w:firstRow="1" w:lastColumn="0" w:lastRow="0" w:noHBand="0" w:noVBand="1" w:val="04A0"/>
      </w:tblPr>
      <w:tblGrid>
        <w:gridCol w:w="173"/>
        <w:gridCol w:w="9936"/>
      </w:tblGrid>
      <w:tr>
        <w:trPr>
          <w:cantSplit/>
        </w:trPr>
        <w:tc>
          <w:tcPr>
            <w:tcW w:type="dxa" w:w="5141"/>
            <w:shd w:fill="4C9F38"/>
          </w:tcPr>
          <w:p>
            <w:r/>
          </w:p>
        </w:tc>
        <w:tc>
          <w:tcPr>
            <w:tcW w:type="dxa" w:w="5141"/>
            <w:shd w:fill="EEF7EE"/>
            <w:vAlign w:val="center"/>
          </w:tcPr>
          <w:p>
            <w:pPr>
              <w:spacing w:after="20"/>
            </w:pPr>
            <w:r>
              <w:rPr>
                <w:b/>
                <w:color w:val="17365D"/>
                <w:sz w:val="19"/>
              </w:rPr>
              <w:t>2030-2060 vision</w:t>
            </w:r>
          </w:p>
          <w:p>
            <w:pPr>
              <w:spacing w:after="0"/>
            </w:pPr>
            <w:r>
              <w:rPr>
                <w:color w:val="1F2937"/>
                <w:sz w:val="17"/>
              </w:rPr>
              <w:t>Reliable infrastructure + inclusive access + clean technology + skilled people + long-term partnerships = a railway that supports sustainable development for future generations.</w:t>
            </w:r>
          </w:p>
        </w:tc>
      </w:tr>
    </w:tbl>
    <w:p>
      <w:pPr>
        <w:spacing w:after="0"/>
      </w:pPr>
    </w:p>
    <w:p>
      <w:pPr>
        <w:spacing w:before="80" w:after="80"/>
        <w:pBdr>
          <w:bottom w:val="single" w:sz="8" w:space="2" w:color="0072CE"/>
        </w:pBdr>
      </w:pPr>
      <w:r>
        <w:rPr>
          <w:rFonts w:ascii="Aptos Display" w:hAnsi="Aptos Display"/>
          <w:b/>
          <w:color w:val="17365D"/>
          <w:sz w:val="34"/>
        </w:rPr>
        <w:t>Reference Sources</w:t>
      </w:r>
    </w:p>
    <w:p>
      <w:pPr>
        <w:spacing w:after="60"/>
      </w:pPr>
      <w:r>
        <w:rPr>
          <w:color w:val="1F2937"/>
          <w:sz w:val="17"/>
        </w:rPr>
        <w:t xml:space="preserve">1. United Nations DESA. UN Decade of Sustainable Transport 2026-2035. </w:t>
      </w:r>
      <w:r>
        <w:rPr>
          <w:color w:val="0072CE"/>
          <w:sz w:val="16"/>
          <w:u w:val="single"/>
        </w:rPr>
        <w:t>https://sdgs.un.org/un-decade-sustainable-transport-2026-2035</w:t>
      </w:r>
    </w:p>
    <w:p>
      <w:pPr>
        <w:spacing w:after="60"/>
      </w:pPr>
      <w:r>
        <w:rPr>
          <w:color w:val="1F2937"/>
          <w:sz w:val="17"/>
        </w:rPr>
        <w:t xml:space="preserve">2. UK Department for Transport. Railways Bill factsheet: the Long-Term Rail Strategy. </w:t>
      </w:r>
      <w:r>
        <w:rPr>
          <w:color w:val="0072CE"/>
          <w:sz w:val="16"/>
          <w:u w:val="single"/>
        </w:rPr>
        <w:t>https://www.gov.uk/government/publications/railways-bill/railways-bill-the-long-term-rail-strategy</w:t>
      </w:r>
    </w:p>
    <w:p>
      <w:pPr>
        <w:spacing w:after="60"/>
      </w:pPr>
      <w:r>
        <w:rPr>
          <w:color w:val="1F2937"/>
          <w:sz w:val="17"/>
        </w:rPr>
        <w:t xml:space="preserve">3. UK Department for Transport. Railways Bill: introducing and designing Great British Railways. </w:t>
      </w:r>
      <w:r>
        <w:rPr>
          <w:color w:val="0072CE"/>
          <w:sz w:val="16"/>
          <w:u w:val="single"/>
        </w:rPr>
        <w:t>https://www.gov.uk/government/publications/railways-bill/railways-bill-introducing-and-designing-great-british-railways</w:t>
      </w:r>
    </w:p>
    <w:p>
      <w:pPr>
        <w:spacing w:after="60"/>
      </w:pPr>
      <w:r>
        <w:rPr>
          <w:color w:val="1F2937"/>
          <w:sz w:val="17"/>
        </w:rPr>
        <w:t xml:space="preserve">4. Network Rail. Control Period 7 (CP7) delivery plans, 2024-2029. </w:t>
      </w:r>
      <w:r>
        <w:rPr>
          <w:color w:val="0072CE"/>
          <w:sz w:val="16"/>
          <w:u w:val="single"/>
        </w:rPr>
        <w:t>https://www.networkrail.co.uk/who-we-are/publications-and-resources/our-delivery-plans-for-2024-2029/</w:t>
      </w:r>
    </w:p>
    <w:p>
      <w:pPr>
        <w:spacing w:after="60"/>
      </w:pPr>
      <w:r>
        <w:rPr>
          <w:color w:val="1F2937"/>
          <w:sz w:val="17"/>
        </w:rPr>
        <w:t xml:space="preserve">5. Office of Rail and Road. Passenger rail usage statistics. </w:t>
      </w:r>
      <w:r>
        <w:rPr>
          <w:color w:val="0072CE"/>
          <w:sz w:val="16"/>
          <w:u w:val="single"/>
        </w:rPr>
        <w:t>https://dataportal.orr.gov.uk/statistics/usage/passenger-rail-usage/</w:t>
      </w:r>
    </w:p>
    <w:p>
      <w:pPr>
        <w:spacing w:before="140"/>
      </w:pPr>
      <w:r>
        <w:rPr>
          <w:i/>
          <w:color w:val="5B6573"/>
          <w:sz w:val="16"/>
        </w:rPr>
        <w:t>Scope note: Most operational statistics and Network Rail planning sources in this paper refer to Great Britain. A complete UK strategy should also incorporate Northern Ireland's separately governed rail network and devolved transport priorities.</w:t>
      </w:r>
    </w:p>
    <w:sectPr w:rsidR="00FC693F" w:rsidRPr="0006063C" w:rsidSect="00034616">
      <w:footerReference w:type="default" r:id="rId9"/>
      <w:pgSz w:w="12240" w:h="15840"/>
      <w:pgMar w:top="749" w:right="979" w:bottom="720"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5"/>
      </w:rPr>
      <w:t>Future UK Railway | SDG-Guided Infrastructure Strategy</w:t>
    </w:r>
  </w:p>
  <w:p>
    <w:pPr>
      <w:jc w:val="right"/>
    </w:pPr>
    <w:r>
      <w:rPr>
        <w:color w:val="5B6573"/>
        <w:sz w:val="15"/>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Future UK Railway: Rail Infrastructure Strategy Guided by the UN Sustainable Development Goals</dc:title>
  <dc:subject>UK rail infrastructure, Sustainable Development Goals, strategic planning</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