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pct" w:w="100%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Pathological UIP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Focal UIP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Total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Negative</w:t>
            </w:r>
            <w:r>
              <w:rPr>
                <w:rFonts w:ascii="Calibri" w:hAnsi="Calibri"/>
                <w:sz w:val="20"/>
              </w:rPr>
              <w:t xml:space="preserve">, N = 104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Positive</w:t>
            </w:r>
            <w:r>
              <w:rPr>
                <w:rFonts w:ascii="Calibri" w:hAnsi="Calibri"/>
                <w:sz w:val="20"/>
              </w:rPr>
              <w:t xml:space="preserve">, N = 97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i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Negative</w:t>
            </w:r>
            <w:r>
              <w:rPr>
                <w:rFonts w:ascii="Calibri" w:hAnsi="Calibri"/>
                <w:sz w:val="20"/>
              </w:rPr>
              <w:t xml:space="preserve">, N = 66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Positive</w:t>
            </w:r>
            <w:r>
              <w:rPr>
                <w:rFonts w:ascii="Calibri" w:hAnsi="Calibri"/>
                <w:sz w:val="20"/>
              </w:rPr>
              <w:t xml:space="preserve">, N = 135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i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201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(55, 66.25)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(60.00, 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0.021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(55, 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(58, 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(57, 67)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 history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0.004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current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FVC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2.21 (1.72, 2.72)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2.36 (2.01, 3.09)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2.03 (1.67, 2.67)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2.41 (1.95, 3.09)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0.004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2.30 (1.82, 2.92)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%FVC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(69, 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(75, 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0.038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(69,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(72, 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(71, 97)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Dlco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 (8.5, 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 (8.7, 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 (8.8, 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 (8.5, 13.3)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 (8.5, 13.0)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%Dlco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(49, 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(51, 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(49,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(50,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(49, 76)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KL-6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1,431 (816, 2,453)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1,102 (663, 2,159)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1,507 (861, 2,543)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1,102 (662, 2,241)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1,204 (726, 2,380)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0.018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CTD-ILD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iNSIP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iPPFE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UC-ILD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(100%)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(IQR)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Wilcoxon rank sum test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default">Fisher's exact test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2023-10-23T05:57:31Z</dcterms:created>
  <dcterms:modified xsi:type="dcterms:W3CDTF">2023-10-23T05:57:31Z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