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`mCuse’</w:t>
      </w:r>
    </w:p>
    <w:tbl>
      <w:tblPr>
        <w:tblStyle w:val="Table"/>
        <w:tblW w:type="pct" w:w="0.0"/>
        <w:tblLook w:firstRow="1"/>
        <w:tblCaption w:val="Summary descriptives table by groups of `mCuse’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Not using Modern N=2652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Using Modern N=408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teen_educa: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&lt; Secondary</w:t>
            </w:r>
          </w:p>
        </w:tc>
        <w:tc>
          <w:p>
            <w:pPr>
              <w:pStyle w:val="Compact"/>
              <w:jc w:val="center"/>
            </w:pPr>
            <w:r>
              <w:t xml:space="preserve">1533 (57.8%)</w:t>
            </w:r>
          </w:p>
        </w:tc>
        <w:tc>
          <w:p>
            <w:pPr>
              <w:pStyle w:val="Compact"/>
              <w:jc w:val="center"/>
            </w:pPr>
            <w:r>
              <w:t xml:space="preserve">64 (15.7%)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Secondary +</w:t>
            </w:r>
          </w:p>
        </w:tc>
        <w:tc>
          <w:p>
            <w:pPr>
              <w:pStyle w:val="Compact"/>
              <w:jc w:val="center"/>
            </w:pPr>
            <w:r>
              <w:t xml:space="preserve">1119 (42.2%)</w:t>
            </w:r>
          </w:p>
        </w:tc>
        <w:tc>
          <w:p>
            <w:pPr>
              <w:pStyle w:val="Compact"/>
              <w:jc w:val="center"/>
            </w:pPr>
            <w:r>
              <w:t xml:space="preserve">344 (84.3%)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region: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north central</w:t>
            </w:r>
          </w:p>
        </w:tc>
        <w:tc>
          <w:p>
            <w:pPr>
              <w:pStyle w:val="Compact"/>
              <w:jc w:val="center"/>
            </w:pPr>
            <w:r>
              <w:t xml:space="preserve">451 (17.0%)</w:t>
            </w:r>
          </w:p>
        </w:tc>
        <w:tc>
          <w:p>
            <w:pPr>
              <w:pStyle w:val="Compact"/>
              <w:jc w:val="center"/>
            </w:pPr>
            <w:r>
              <w:t xml:space="preserve">84 (20.6%)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north east</w:t>
            </w:r>
          </w:p>
        </w:tc>
        <w:tc>
          <w:p>
            <w:pPr>
              <w:pStyle w:val="Compact"/>
              <w:jc w:val="center"/>
            </w:pPr>
            <w:r>
              <w:t xml:space="preserve">695 (26.2%)</w:t>
            </w:r>
          </w:p>
        </w:tc>
        <w:tc>
          <w:p>
            <w:pPr>
              <w:pStyle w:val="Compact"/>
              <w:jc w:val="center"/>
            </w:pPr>
            <w:r>
              <w:t xml:space="preserve">68 (16.7%)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north west</w:t>
            </w:r>
          </w:p>
        </w:tc>
        <w:tc>
          <w:p>
            <w:pPr>
              <w:pStyle w:val="Compact"/>
              <w:jc w:val="center"/>
            </w:pPr>
            <w:r>
              <w:t xml:space="preserve">835 (31.5%)</w:t>
            </w:r>
          </w:p>
        </w:tc>
        <w:tc>
          <w:p>
            <w:pPr>
              <w:pStyle w:val="Compact"/>
              <w:jc w:val="center"/>
            </w:pPr>
            <w:r>
              <w:t xml:space="preserve">54 (13.2%)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south east</w:t>
            </w:r>
          </w:p>
        </w:tc>
        <w:tc>
          <w:p>
            <w:pPr>
              <w:pStyle w:val="Compact"/>
              <w:jc w:val="center"/>
            </w:pPr>
            <w:r>
              <w:t xml:space="preserve">159 (6.00%)</w:t>
            </w:r>
          </w:p>
        </w:tc>
        <w:tc>
          <w:p>
            <w:pPr>
              <w:pStyle w:val="Compact"/>
              <w:jc w:val="center"/>
            </w:pPr>
            <w:r>
              <w:t xml:space="preserve">42 (10.3%)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south south</w:t>
            </w:r>
          </w:p>
        </w:tc>
        <w:tc>
          <w:p>
            <w:pPr>
              <w:pStyle w:val="Compact"/>
              <w:jc w:val="center"/>
            </w:pPr>
            <w:r>
              <w:t xml:space="preserve">299 (11.3%)</w:t>
            </w:r>
          </w:p>
        </w:tc>
        <w:tc>
          <w:p>
            <w:pPr>
              <w:pStyle w:val="Compact"/>
              <w:jc w:val="center"/>
            </w:pPr>
            <w:r>
              <w:t xml:space="preserve">88 (21.6%)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south west</w:t>
            </w:r>
          </w:p>
        </w:tc>
        <w:tc>
          <w:p>
            <w:pPr>
              <w:pStyle w:val="Compact"/>
              <w:jc w:val="center"/>
            </w:pPr>
            <w:r>
              <w:t xml:space="preserve">213 (8.03%)</w:t>
            </w:r>
          </w:p>
        </w:tc>
        <w:tc>
          <w:p>
            <w:pPr>
              <w:pStyle w:val="Compact"/>
              <w:jc w:val="center"/>
            </w:pPr>
            <w:r>
              <w:t xml:space="preserve">72 (17.6%)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2020-02-12T12:31:38Z</dcterms:created>
  <dcterms:modified xsi:type="dcterms:W3CDTF">2020-02-12T12:31:38Z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