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0F766E"/>
          <w:sz w:val="20"/>
          <w:szCs w:val="20"/>
        </w:rPr>
        <w:t xml:space="preserve">INTERNAL SOP</w:t>
      </w:r>
    </w:p>
    <w:p>
      <w:pPr>
        <w:spacing w:after="60"/>
      </w:pPr>
      <w:r>
        <w:rPr>
          <w:b/>
          <w:bCs/>
          <w:color w:val="22303C"/>
          <w:sz w:val="40"/>
          <w:szCs w:val="40"/>
        </w:rPr>
        <w:t xml:space="preserve">Review Automation — Setup</w:t>
      </w:r>
    </w:p>
    <w:p>
      <w:pPr>
        <w:spacing w:after="130" w:line="274"/>
      </w:pPr>
      <w:r>
        <w:rPr>
          <w:color w:val="595959"/>
          <w:sz w:val="22"/>
          <w:szCs w:val="22"/>
        </w:rPr>
        <w:t xml:space="preserve">For the WEBRIS operator (or VA) standing up a client's automated review engine. Run after the client's Review Generation &amp; Management Playbook is delivered and the strategy call is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2F0" w:sz="4"/>
              <w:left w:val="single" w:color="0F766E" w:sz="18"/>
              <w:bottom w:val="single" w:color="E7F2F0" w:sz="4"/>
              <w:right w:val="single" w:color="E7F2F0" w:sz="4"/>
            </w:tcBorders>
            <w:shd w:fill="E7F2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2303C"/>
                <w:sz w:val="22"/>
                <w:szCs w:val="22"/>
              </w:rPr>
              <w:t xml:space="preserve">The principle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The agency runs the automation — the client never logs into a tool. </w:t>
            </w:r>
            <w:r>
              <w:rPr>
                <w:sz w:val="21"/>
                <w:szCs w:val="21"/>
              </w:rPr>
              <w:t xml:space="preserve">Set it up once at the agency level and reuse it for every client. The client-facing playbook only describes this as a done-for-you service; all tool names, plans, pricing, and steps live in this SOP, never in the client deliverable.</w:t>
            </w:r>
          </w:p>
        </w:tc>
      </w:tr>
    </w:tbl>
    <w:p>
      <w:pPr>
        <w:pStyle w:val="Heading1"/>
      </w:pPr>
      <w:r>
        <w:t xml:space="preserve">1. Choose the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shd w:fill="0F76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the agency…</w:t>
            </w:r>
          </w:p>
        </w:tc>
        <w:tc>
          <w:tcPr>
            <w:tcW w:type="dxa" w:w="1700"/>
            <w:shd w:fill="0F76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660"/>
            <w:shd w:fill="0F76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shd w:fill="F1F6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Already runs GoHighLevel (or similar CRM)</w:t>
            </w:r>
          </w:p>
        </w:tc>
        <w:tc>
          <w:tcPr>
            <w:tcW w:type="dxa" w:w="1700"/>
            <w:shd w:fill="F1F6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 A</w:t>
            </w:r>
          </w:p>
        </w:tc>
        <w:tc>
          <w:tcPr>
            <w:tcW w:type="dxa" w:w="4660"/>
            <w:shd w:fill="F1F6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new spend; add the client as a sub-account and reuse across the book.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Does not run a CRM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 B — BrightLocal</w:t>
            </w:r>
          </w:p>
        </w:tc>
        <w:tc>
          <w:tcPr>
            <w:tcW w:type="dxa" w:w="4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Purpose-built for local reviews; agency account, each client a location.</w:t>
            </w:r>
          </w:p>
        </w:tc>
      </w:tr>
    </w:tbl>
    <w:p>
      <w:pPr>
        <w:spacing w:after="130" w:before="120"/>
      </w:pPr>
      <w:r>
        <w:rPr>
          <w:sz w:val="21"/>
          <w:szCs w:val="21"/>
        </w:rPr>
        <w:t xml:space="preserve">Either way it's an agency-level setup, reused per client — reviews become a recurring, billable add-on, not a per-client tool stack.</w:t>
      </w:r>
    </w:p>
    <w:p>
      <w:pPr>
        <w:pStyle w:val="Heading1"/>
      </w:pPr>
      <w:r>
        <w:t xml:space="preserve">2. Prerequisites (both paths)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Google Business Profile manager access </w:t>
      </w:r>
      <w:r>
        <w:t xml:space="preserve">for each client location (client grants access or adds the agency as a manager).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Per-office direct review links </w:t>
      </w:r>
      <w:r>
        <w:t xml:space="preserve">from the playbook / Step 1 NAP: https://search.google.com/local/writereview?placeid={PLACE_ID}.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TCPA opt-in on the client's intake </w:t>
      </w:r>
      <w:r>
        <w:t xml:space="preserve">— a “yes, you can text me” consent checkbox, confirmed before enabling SMS. This is the one client-side item.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Approved message copy </w:t>
      </w:r>
      <w:r>
        <w:t xml:space="preserve">— SMS + email request and reminder (Section 5).</w:t>
      </w:r>
    </w:p>
    <w:p>
      <w:r>
        <w:br w:type="page"/>
      </w:r>
    </w:p>
    <w:p>
      <w:pPr>
        <w:pStyle w:val="Heading1"/>
      </w:pPr>
      <w:r>
        <w:t xml:space="preserve">3. Path A — GoHighLevel</w:t>
      </w:r>
    </w:p>
    <w:p>
      <w:pPr>
        <w:spacing w:after="130" w:line="274"/>
      </w:pPr>
      <w:r>
        <w:t xml:space="preserve">Repeat the location-level pieces for </w:t>
      </w:r>
      <w:r>
        <w:rPr>
          <w:b/>
          <w:bCs/>
        </w:rPr>
        <w:t xml:space="preserve">each office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Add the client as a sub-account / location </w:t>
      </w:r>
      <w:r>
        <w:t xml:space="preserve">in your agency GHL.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Connect Google (and Facebook) at the location level </w:t>
      </w:r>
      <w:r>
        <w:t xml:space="preserve">— Reputation → Settings → sign in with the Google account that manages that office's Business Profile and select the correct listing.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Create the workflow </w:t>
      </w:r>
      <w:r>
        <w:t xml:space="preserve">— Automation → Workflows → + New Workflow.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Set the trigger </w:t>
      </w:r>
      <w:r>
        <w:t xml:space="preserve">— Opportunity Status → “Won” / “Service Completed”, or Appointment Status → “Showed Up”, or a manual “Request Review” tag added at case close.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Add the Review Request action </w:t>
      </w:r>
      <w:r>
        <w:t xml:space="preserve">— SMS (best response) or Email; text configured in Reputation Settings. Include a thank-you + the office review link.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Add one reminder </w:t>
      </w:r>
      <w:r>
        <w:t xml:space="preserve">— 24-hour wait → “no review yet?” condition → single follow-up → stop.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Time it </w:t>
      </w:r>
      <w:r>
        <w:t xml:space="preserve">— fire ~30 minutes after the case/consult is marked complete.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/>
          <w:bCs/>
        </w:rPr>
        <w:t xml:space="preserve">Publish + test </w:t>
      </w:r>
      <w:r>
        <w:t xml:space="preserve">— publish and run a test with your own phone/email before go-live (Section 6).</w:t>
      </w:r>
    </w:p>
    <w:p>
      <w:pPr>
        <w:pStyle w:val="Heading1"/>
      </w:pPr>
      <w:r>
        <w:t xml:space="preserve">4. Path B — BrightLocal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6F5" w:sz="4"/>
              <w:left w:val="single" w:color="0F766E" w:sz="18"/>
              <w:bottom w:val="single" w:color="F1F6F5" w:sz="4"/>
              <w:right w:val="single" w:color="F1F6F5" w:sz="4"/>
            </w:tcBorders>
            <w:shd w:fill="F1F6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2303C"/>
                <w:sz w:val="22"/>
                <w:szCs w:val="22"/>
              </w:rPr>
              <w:t xml:space="preserve">Plan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Review-generation campaigns require the Grow plan ($59/mo). </w:t>
            </w:r>
            <w:r>
              <w:rPr>
                <w:sz w:val="21"/>
                <w:szCs w:val="21"/>
              </w:rPr>
              <w:t xml:space="preserve">Track ($39) and Manage ($49) do NOT include reviews. Multi-location only scales up around 11+ locations, so a 1–10 office client fits the base tier. Verify current pricing at signup. Alternative: Grade.us (~$36/seat) for pure resell.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Open the agency account </w:t>
      </w:r>
      <w:r>
        <w:t xml:space="preserve">at brightlocal.com and add each office as a location.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Reputation Manager → Get Reviews </w:t>
      </w:r>
      <w:r>
        <w:t xml:space="preserve">→ create a review-generation campaign.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Build the template </w:t>
      </w:r>
      <w:r>
        <w:t xml:space="preserve">— email + SMS copy (Section 5); select Google as the review site for each office.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Load SMS credits </w:t>
      </w:r>
      <w:r>
        <w:t xml:space="preserve">— text requests use a small per-message credit; top up in the campaign panel. SMS gets the best response.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Get Request URLs </w:t>
      </w:r>
      <w:r>
        <w:t xml:space="preserve">— grab links + QR codes for email signatures, intake forms, and printed office cards.</w:t>
      </w:r>
    </w:p>
    <w:p>
      <w:pPr>
        <w:pStyle w:val="ListParagraph"/>
        <w:numPr>
          <w:ilvl w:val="0"/>
          <w:numId w:val="4"/>
        </w:numPr>
        <w:spacing w:after="70" w:line="272"/>
      </w:pPr>
      <w:r>
        <w:rPr>
          <w:b/>
          <w:bCs/>
        </w:rPr>
        <w:t xml:space="preserve">Add contacts </w:t>
      </w:r>
      <w:r>
        <w:t xml:space="preserve">— upload past clients or connect the client's intake; enable the automatic reminder.</w:t>
      </w:r>
    </w:p>
    <w:p>
      <w:r>
        <w:br w:type="page"/>
      </w:r>
    </w:p>
    <w:p>
      <w:pPr>
        <w:pStyle w:val="Heading1"/>
      </w:pPr>
      <w:r>
        <w:t xml:space="preserve">5. Message templates</w:t>
      </w:r>
    </w:p>
    <w:p>
      <w:pPr>
        <w:spacing w:after="130" w:line="274"/>
      </w:pPr>
      <w:r>
        <w:rPr>
          <w:color w:val="595959"/>
          <w:sz w:val="21"/>
          <w:szCs w:val="21"/>
        </w:rPr>
        <w:t xml:space="preserve">Merge fields: {FirstName}, {FirmName}, {OfficeReviewLink}, {CallerName}. Keep copy honest and non-incentivized.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2303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SMS — initial</w:t>
            </w:r>
          </w:p>
        </w:tc>
      </w:tr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color w:val="222222"/>
                <w:sz w:val="21"/>
                <w:szCs w:val="21"/>
              </w:rPr>
              <w:t xml:space="preserve">Hi {FirstName}, it's {CallerName} at {FirmName}. It was a privilege to help with your case. Would you take 30 seconds to share your experience? It really helps others find us: {OfficeReviewLink}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2303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SMS — reminder (24h, if no review)</w:t>
            </w:r>
          </w:p>
        </w:tc>
      </w:tr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color w:val="222222"/>
                <w:sz w:val="21"/>
                <w:szCs w:val="21"/>
              </w:rPr>
              <w:t xml:space="preserve">Hi {FirstName}, just following up — if you have a moment, here's the link to leave {FirmName} a quick review. Thank you! {OfficeReviewLink}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2303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— initial  (subject: A quick favor?)</w:t>
            </w:r>
          </w:p>
        </w:tc>
      </w:tr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90" w:line="280"/>
            </w:pPr>
            <w:r>
              <w:rPr>
                <w:color w:val="222222"/>
                <w:sz w:val="21"/>
                <w:szCs w:val="21"/>
              </w:rPr>
              <w:t xml:space="preserve">Hi {FirstName},</w:t>
            </w:r>
          </w:p>
          <w:p>
            <w:pPr>
              <w:spacing w:after="90" w:line="280"/>
            </w:pPr>
            <w:r>
              <w:rPr>
                <w:color w:val="222222"/>
                <w:sz w:val="21"/>
                <w:szCs w:val="21"/>
              </w:rPr>
              <w:t xml:space="preserve">Thank you again for trusting {FirmName}. Reviews make a real difference for a firm like ours — they help other people in a tough spot know they can turn to us. If you have 30 seconds, we'd be grateful if you'd share your experience: {OfficeReviewLink}</w:t>
            </w:r>
          </w:p>
          <w:p>
            <w:pPr>
              <w:spacing w:after="0" w:line="280"/>
            </w:pPr>
            <w:r>
              <w:rPr>
                <w:color w:val="222222"/>
                <w:sz w:val="21"/>
                <w:szCs w:val="21"/>
              </w:rPr>
              <w:t xml:space="preserve">Thank you, {CallerName}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2303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 — reminder</w:t>
            </w:r>
          </w:p>
        </w:tc>
      </w:tr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80"/>
            </w:pPr>
            <w:r>
              <w:rPr>
                <w:color w:val="222222"/>
                <w:sz w:val="21"/>
                <w:szCs w:val="21"/>
              </w:rPr>
              <w:t xml:space="preserve">Hi {FirstName}, just a gentle follow-up in case you missed my last note — here's the link to leave a quick review: {OfficeReviewLink}. No worries either way, and thank you.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Test before go-live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Create a test contact with your own phone + email.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Manually fire the trigger (or move the test opportunity/appointment).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SMS and email received with correct copy.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Review link opens the correct office's Google review box.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Reminder fires after ~24h when no review is left.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Sequence stops once a review is detected (GHL) / after the sequence (BrightLocal).</w:t>
      </w:r>
    </w:p>
    <w:p>
      <w:pPr>
        <w:pStyle w:val="ListParagraph"/>
        <w:numPr>
          <w:ilvl w:val="0"/>
          <w:numId w:val="5"/>
        </w:numPr>
        <w:spacing w:after="60" w:line="272"/>
      </w:pPr>
      <w:r>
        <w:t xml:space="preserve">Workflow Published (GHL) / campaign Active (BrightLocal).</w:t>
      </w:r>
    </w:p>
    <w:p>
      <w:r>
        <w:br w:type="page"/>
      </w:r>
    </w:p>
    <w:p>
      <w:pPr>
        <w:pStyle w:val="Heading1"/>
      </w:pPr>
      <w:r>
        <w:t xml:space="preserve">7. Go-live &amp; client handoff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Turn the automation on for all offices.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Tell the client it's live and confirm their one job: keep the intake opt-in checkbox in place.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t xml:space="preserve">Document per client: which path/account, the trigger used, and which offices are connected.</w:t>
      </w:r>
    </w:p>
    <w:p>
      <w:pPr>
        <w:pStyle w:val="Heading1"/>
      </w:pPr>
      <w:r>
        <w:t xml:space="preserve">8. Ongoing management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Response SLA: </w:t>
      </w:r>
      <w:r>
        <w:t xml:space="preserve">respond to every new review (positive + negative) within 48h — draft replies for the client's approval; never share case details.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Monthly recount: </w:t>
      </w:r>
      <w:r>
        <w:t xml:space="preserve">re-count reviews per office → velocity vs. targets (baseline from the Local SEO audit). The velocity tracker + monthly review report are built in the reporting process — this SOP sets the baseline and the system.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Recommend Loganix </w:t>
      </w:r>
      <w:r>
        <w:t xml:space="preserve">for done-for-you review-response management if the client wants it hands-off.</w:t>
      </w:r>
    </w:p>
    <w:p>
      <w:pPr>
        <w:pStyle w:val="Heading1"/>
      </w:pPr>
      <w:r>
        <w:t xml:space="preserve">9. Compliance guardrails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TCPA: </w:t>
      </w:r>
      <w:r>
        <w:t xml:space="preserve">SMS requests require prior opt-in — confirm intake consent before enabling SMS.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No review gating: </w:t>
      </w:r>
      <w:r>
        <w:t xml:space="preserve">ask everyone; make Google easy; never suppress or filter out negative reviewers (Google prohibits it).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Incentives: </w:t>
      </w:r>
      <w:r>
        <w:t xml:space="preserve">staff-only rewards for effort — never pay or reward the reviewer.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Authenticity: </w:t>
      </w:r>
      <w:r>
        <w:t xml:space="preserve">every review must reflect a real experience; never write or fabricate reviews.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WEBRIS · Review Automation Setup SOP (internal) ·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0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6" w:space="4"/>
      </w:pBdr>
      <w:spacing w:after="120" w:before="280"/>
      <w:outlineLvl w:val="0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2303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WEBRIS / Blueprint Training</dc:creator>
  <cp:lastModifiedBy>Un-named</cp:lastModifiedBy>
  <cp:revision>1</cp:revision>
  <dcterms:created xsi:type="dcterms:W3CDTF">2026-07-06T16:33:46.357Z</dcterms:created>
  <dcterms:modified xsi:type="dcterms:W3CDTF">2026-07-06T16:33:46.357Z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