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1A1FD" w14:textId="58A34E1B" w:rsidR="0059066D" w:rsidRPr="00BE2A98" w:rsidRDefault="00E42826" w:rsidP="00BE2A98">
      <w:pPr>
        <w:jc w:val="center"/>
        <w:rPr>
          <w:sz w:val="44"/>
          <w:szCs w:val="44"/>
        </w:rPr>
      </w:pPr>
      <w:r w:rsidRPr="00BE2A98">
        <w:rPr>
          <w:sz w:val="44"/>
          <w:szCs w:val="44"/>
        </w:rPr>
        <w:t>Tradiční modely, netradiční data: Predikce ceny TSLA</w:t>
      </w:r>
    </w:p>
    <w:p w14:paraId="0F104B05" w14:textId="44D5CD4E" w:rsidR="00D37D60" w:rsidRPr="002C0167" w:rsidRDefault="000F337C" w:rsidP="00A320DB">
      <w:pPr>
        <w:tabs>
          <w:tab w:val="left" w:pos="993"/>
        </w:tabs>
        <w:spacing w:before="83" w:after="120"/>
        <w:ind w:right="8"/>
        <w:jc w:val="center"/>
        <w:rPr>
          <w:rFonts w:cs="Times New Roman"/>
          <w:lang w:eastAsia="zh-CN"/>
        </w:rPr>
      </w:pPr>
      <w:r>
        <w:rPr>
          <w:rFonts w:cs="Times New Roman"/>
          <w:sz w:val="28"/>
        </w:rPr>
        <w:t>Václav Jež</w:t>
      </w:r>
      <w:r w:rsidR="00C5537A" w:rsidRPr="002C0167">
        <w:rPr>
          <w:rStyle w:val="Znakapoznpodarou"/>
          <w:rFonts w:cs="Times New Roman"/>
          <w:sz w:val="28"/>
        </w:rPr>
        <w:footnoteReference w:id="1"/>
      </w:r>
    </w:p>
    <w:p w14:paraId="7F1AA5B3" w14:textId="68AB3A9C" w:rsidR="00D37D60" w:rsidRPr="002C0167" w:rsidRDefault="00784F21" w:rsidP="00A320DB">
      <w:pPr>
        <w:tabs>
          <w:tab w:val="left" w:pos="993"/>
        </w:tabs>
        <w:spacing w:before="83" w:after="120"/>
        <w:ind w:right="8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t>21. května 2025</w:t>
      </w:r>
    </w:p>
    <w:p w14:paraId="7ABF6CBD" w14:textId="23086B8D" w:rsidR="00B441D7" w:rsidRPr="00007E4D" w:rsidRDefault="00AE4B45" w:rsidP="00BE2A98">
      <w:pPr>
        <w:pStyle w:val="Abstrakt"/>
      </w:pPr>
      <w:r w:rsidRPr="002C0167">
        <w:rPr>
          <w:rFonts w:eastAsia="Times New Roman"/>
          <w:b/>
          <w:lang w:eastAsia="zh-CN"/>
        </w:rPr>
        <w:t xml:space="preserve">Abstrakt: </w:t>
      </w:r>
      <w:r w:rsidR="005872E8">
        <w:t xml:space="preserve">Tato práce </w:t>
      </w:r>
      <w:r w:rsidR="00CA7BDE">
        <w:t>zkoumá,</w:t>
      </w:r>
      <w:r w:rsidR="005872E8">
        <w:t xml:space="preserve"> jak tradiční nástroje časových řad obstojí v nevyzpytatelném prostředí světa predikcí cen akcií. V analýze jsou sesbírána unikátní data</w:t>
      </w:r>
      <w:r w:rsidR="009432B8">
        <w:t xml:space="preserve"> (např. t</w:t>
      </w:r>
      <w:r w:rsidR="00E05757">
        <w:t>w</w:t>
      </w:r>
      <w:r w:rsidR="009432B8">
        <w:t>eety Elona Muska)</w:t>
      </w:r>
      <w:r w:rsidR="005872E8">
        <w:t xml:space="preserve">, která jsou upravena i méně tradičními způsoby (machine learning, PCA). </w:t>
      </w:r>
      <w:r w:rsidR="00CA7BDE">
        <w:t xml:space="preserve">Porovnává predikční výkonosti různých modelů a přístupů k jejich odhadu. </w:t>
      </w:r>
      <w:r w:rsidR="00007E4D">
        <w:t xml:space="preserve">Jako cíl si klade porovnat dle standartních metrik predikce těchto modelů jejich výkonost s anebo bez zahrnutí unikátních dat. Práce také porovnává jednorozměrný a vícerozměrný přístup modelování řad. </w:t>
      </w:r>
      <w:r w:rsidR="00D81C47">
        <w:t xml:space="preserve">Nachází, že zvolené modely porážejí naivní model a lze je tak z tohoto hlediska považovat za významné. </w:t>
      </w:r>
      <w:r w:rsidR="009432B8">
        <w:t xml:space="preserve">Zahrnutí unikátních dat </w:t>
      </w:r>
      <w:r w:rsidR="006B7203">
        <w:t>sentimentu a dalších v podobě exogenních proměnných nevede ke spolehlivějším výsledkům. Stejný závěr je nalezen pro složitější vícerozměrné modely časových řad oproti jednorozměrným.</w:t>
      </w:r>
    </w:p>
    <w:p w14:paraId="1CBB88DF" w14:textId="0D2D6D96" w:rsidR="00AE4B45" w:rsidRPr="002C0167" w:rsidRDefault="00B9389A" w:rsidP="003D3765">
      <w:pPr>
        <w:pStyle w:val="Abstrakt"/>
      </w:pPr>
      <w:r w:rsidRPr="002C0167">
        <w:rPr>
          <w:b/>
        </w:rPr>
        <w:t>Klíčová slova:</w:t>
      </w:r>
      <w:r w:rsidRPr="002C0167">
        <w:t xml:space="preserve"> </w:t>
      </w:r>
      <w:r w:rsidR="003175EA">
        <w:t>ARIMA, VAR, TSLA, predikce, akcie</w:t>
      </w:r>
    </w:p>
    <w:p w14:paraId="617E9060" w14:textId="14720EF2" w:rsidR="00D00C32" w:rsidRPr="002C0167" w:rsidRDefault="00D00C32" w:rsidP="003D3765">
      <w:pPr>
        <w:pStyle w:val="Abstrakt"/>
      </w:pPr>
      <w:r w:rsidRPr="002C0167">
        <w:rPr>
          <w:b/>
        </w:rPr>
        <w:t>JEL klasifikace:</w:t>
      </w:r>
      <w:r w:rsidRPr="002C0167">
        <w:t xml:space="preserve"> </w:t>
      </w:r>
      <w:r w:rsidR="001D1D3C">
        <w:t>G10</w:t>
      </w:r>
      <w:r w:rsidR="00EC53D2">
        <w:t>0</w:t>
      </w:r>
      <w:r w:rsidR="001D1D3C">
        <w:t xml:space="preserve">, </w:t>
      </w:r>
      <w:r w:rsidR="0023144C">
        <w:t>G17</w:t>
      </w:r>
      <w:r w:rsidR="00125FFA">
        <w:t>0</w:t>
      </w:r>
    </w:p>
    <w:p w14:paraId="4F75AA03" w14:textId="77777777" w:rsidR="00D00C32" w:rsidRPr="002C0167" w:rsidRDefault="00D00C32" w:rsidP="00764497">
      <w:pPr>
        <w:pStyle w:val="Kapitola"/>
      </w:pPr>
      <w:r w:rsidRPr="00764497">
        <w:t>1</w:t>
      </w:r>
      <w:r w:rsidR="00F91CB0" w:rsidRPr="002C0167">
        <w:tab/>
      </w:r>
      <w:r w:rsidRPr="00764497">
        <w:t>Úvod</w:t>
      </w:r>
    </w:p>
    <w:p w14:paraId="11AA3988" w14:textId="5F4FD38D" w:rsidR="00491400" w:rsidRDefault="00491400" w:rsidP="00491400">
      <w:pPr>
        <w:pStyle w:val="Prvnodstavec"/>
      </w:pPr>
      <w:r w:rsidRPr="00491400">
        <w:t>Svět akcií může být chaotickým a často zrádným místem. Jejich ceny jsou ovlivněny spoustu různými a složitými vztahy. Často se mohou odvíjet od nálady investorů na trhu či různými veřejnými prohlášeními firmy, stakeholderů a vlivných osobností.</w:t>
      </w:r>
      <w:r w:rsidR="003F4BEE">
        <w:t xml:space="preserve"> Spoustu investorů se v tomto často i iracionálním prostředí snaží o profitabilitu a jeden ze </w:t>
      </w:r>
      <w:r w:rsidR="00F02643">
        <w:t>způsobů,</w:t>
      </w:r>
      <w:r w:rsidR="003F4BEE">
        <w:t xml:space="preserve"> jak ji dosáhnout může být vytvoření relativně spolehlivých predikcí ceny akcie.</w:t>
      </w:r>
      <w:r w:rsidRPr="00491400">
        <w:t xml:space="preserve"> I nejlepší a nejsložitější modely mohou mít </w:t>
      </w:r>
      <w:r w:rsidR="006C66A5">
        <w:t xml:space="preserve">ale </w:t>
      </w:r>
      <w:r w:rsidRPr="00491400">
        <w:t>problém se spolehlivým predikováním jejich ceny. Tato práce tedy do tohoto světa vstupuje vybavená s poměrně unikátními daty a vstupuje vstříc testování právě více různých metod ke získání predikcí.</w:t>
      </w:r>
    </w:p>
    <w:p w14:paraId="1C91B024" w14:textId="727B2AA5" w:rsidR="00244E5B" w:rsidRDefault="00007F2C" w:rsidP="00BF5169">
      <w:pPr>
        <w:pStyle w:val="Dalodstavec"/>
      </w:pPr>
      <w:r>
        <w:t xml:space="preserve">Motivace pro výběr takového úkolu byla záliba v tomto odvětví financí a zvědavost, zdali „základní“ modely časových řad mohou přinést úspěch. </w:t>
      </w:r>
      <w:r w:rsidR="00491400">
        <w:t>Autorův pocit, že na krátkodobé výkyvy ceny akcie může mít značn</w:t>
      </w:r>
      <w:r w:rsidR="00244E5B">
        <w:t>ý</w:t>
      </w:r>
      <w:r w:rsidR="00491400">
        <w:t xml:space="preserve"> vliv právě sentiment na trhu, takzvaný „hype“ akcie či důležitá prohlášení vedly k stanovení cíle této práce. Tento cíl spočívá v porovnání výko</w:t>
      </w:r>
      <w:r w:rsidR="00244E5B">
        <w:t>n</w:t>
      </w:r>
      <w:r w:rsidR="00491400">
        <w:t xml:space="preserve">nosti predikcí tradičních modelů časových řad a to </w:t>
      </w:r>
      <w:r w:rsidR="002E5A87">
        <w:t>ARIMA</w:t>
      </w:r>
      <w:r w:rsidR="00491400">
        <w:t xml:space="preserve">, </w:t>
      </w:r>
      <w:r w:rsidR="002E5A87">
        <w:t>ARIMAX</w:t>
      </w:r>
      <w:r w:rsidR="00491400">
        <w:t xml:space="preserve">, </w:t>
      </w:r>
      <w:r w:rsidR="002E5A87">
        <w:t xml:space="preserve">VAR </w:t>
      </w:r>
      <w:r w:rsidR="00491400">
        <w:t xml:space="preserve">a </w:t>
      </w:r>
      <w:r w:rsidR="002E5A87">
        <w:t xml:space="preserve">VARX </w:t>
      </w:r>
      <w:r w:rsidR="00491400">
        <w:t xml:space="preserve">v případě sledované řady cen akcie firmy Tesla. Data využitá pro tyto modely k naplnění cíle práce jsou poměrně unikátní a mimo jiné zahrnují </w:t>
      </w:r>
      <w:r w:rsidR="00F720C5">
        <w:t>ať už</w:t>
      </w:r>
      <w:r w:rsidR="00491400">
        <w:t xml:space="preserve"> náladu investorů na trhu, relativní </w:t>
      </w:r>
      <w:r w:rsidR="00071177">
        <w:t xml:space="preserve">vyhledávanost pojmu „tesla“ na Googlu nebo časovou řadu indikující sentiment vyplívající z tweetů Elona Muska. Právě takový výběr proměnných zároveň s vybranými modely, může poodhalit, zdali, zahrnutí nejen tradičních finančních dat vede k lepší výkonnosti predikcí </w:t>
      </w:r>
      <w:r w:rsidR="005C6DD6">
        <w:t xml:space="preserve">v případě poměrně těžko modelovatelné veličiny jako je cena akcie. Práce používá ticker „TSLA“ hlavně z důvodu poměrně velkého vlivu jejího zakladatele Elona Muska na sociální síti X, kde </w:t>
      </w:r>
      <w:r w:rsidR="00C75462">
        <w:t xml:space="preserve">mívají </w:t>
      </w:r>
      <w:r w:rsidR="005C6DD6">
        <w:t xml:space="preserve">často jeho </w:t>
      </w:r>
      <w:r w:rsidR="00AB2486">
        <w:lastRenderedPageBreak/>
        <w:t>výroky o různých finančních aktivech velký dopad a reakce mezi investory.</w:t>
      </w:r>
    </w:p>
    <w:p w14:paraId="04F2C275" w14:textId="5ACE1405" w:rsidR="00D00C32" w:rsidRDefault="00A320DB" w:rsidP="00764497">
      <w:pPr>
        <w:pStyle w:val="Kapitola"/>
      </w:pPr>
      <w:r w:rsidRPr="002C0167">
        <w:t>2</w:t>
      </w:r>
      <w:r w:rsidRPr="002C0167">
        <w:tab/>
      </w:r>
      <w:r w:rsidR="00F22F63">
        <w:t>Teoretický</w:t>
      </w:r>
      <w:r w:rsidR="00D00C32" w:rsidRPr="002C0167">
        <w:t xml:space="preserve"> model</w:t>
      </w:r>
      <w:r w:rsidR="00F22F63">
        <w:t xml:space="preserve"> a cíl</w:t>
      </w:r>
    </w:p>
    <w:p w14:paraId="11C1EC95" w14:textId="2EE1F9B9" w:rsidR="00B50A6C" w:rsidRDefault="00FD40A1" w:rsidP="00B50A6C">
      <w:pPr>
        <w:pStyle w:val="Prvnodstavec"/>
      </w:pPr>
      <w:r>
        <w:t>Na základě již zmíněného záměru přivést do analýzy ceny akcie TSLA méně obvyklá data v podobě nějakého sentimentu na trhu, prohlášení či zachycení „hypu“ akcie přichází práce s následující prvotní teoretickou specifikací model</w:t>
      </w:r>
      <w:r w:rsidR="0096231F">
        <w:t>ů. Na základě té</w:t>
      </w:r>
      <w:r w:rsidR="00831129">
        <w:t>to</w:t>
      </w:r>
      <w:r w:rsidR="0096231F">
        <w:t xml:space="preserve"> specifikace lze nejlépe porovnávat přínos těchto proměnných i porovnat různý přístup k modelování časových řad jako </w:t>
      </w:r>
      <w:r w:rsidR="009409FA">
        <w:t>jednorozměrn</w:t>
      </w:r>
      <w:r w:rsidR="00412173">
        <w:t xml:space="preserve">ý </w:t>
      </w:r>
      <w:r w:rsidR="0096231F">
        <w:t>a</w:t>
      </w:r>
      <w:r w:rsidR="009409FA">
        <w:t xml:space="preserve"> vícerozměrn</w:t>
      </w:r>
      <w:r w:rsidR="00412173">
        <w:t>ý</w:t>
      </w:r>
      <w:r w:rsidR="0096231F">
        <w:t>.</w:t>
      </w:r>
    </w:p>
    <w:p w14:paraId="60FC8C7A" w14:textId="77777777" w:rsidR="00CF39D8" w:rsidRDefault="00CF39D8" w:rsidP="00B50A6C">
      <w:pPr>
        <w:pStyle w:val="Prvnodstavec"/>
      </w:pPr>
    </w:p>
    <w:p w14:paraId="76D7DCF2" w14:textId="52442A59" w:rsidR="0002259A" w:rsidRDefault="0002259A" w:rsidP="0002259A">
      <w:pPr>
        <w:pStyle w:val="Prvnodstavec"/>
        <w:jc w:val="center"/>
        <w:rPr>
          <w:b/>
          <w:bCs/>
        </w:rPr>
      </w:pPr>
      <w:r>
        <w:rPr>
          <w:b/>
          <w:bCs/>
        </w:rPr>
        <w:t>Obr. 1: Prvotní návrh modelů</w:t>
      </w:r>
    </w:p>
    <w:p w14:paraId="1B30B785" w14:textId="77777777" w:rsidR="00CF39D8" w:rsidRDefault="0002259A" w:rsidP="00CF39D8">
      <w:pPr>
        <w:pStyle w:val="Prvnodstavec"/>
        <w:keepNext/>
        <w:jc w:val="center"/>
      </w:pPr>
      <w:r w:rsidRPr="0002259A">
        <w:rPr>
          <w:b/>
          <w:bCs/>
          <w:noProof/>
        </w:rPr>
        <w:drawing>
          <wp:inline distT="0" distB="0" distL="0" distR="0" wp14:anchorId="1CC4CB91" wp14:editId="7DA57700">
            <wp:extent cx="3191364" cy="2380000"/>
            <wp:effectExtent l="0" t="0" r="9525" b="1270"/>
            <wp:docPr id="1387091221" name="Obrázek 1" descr="Obsah obrázku text, Písmo, snímek obrazovky, rukopis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91221" name="Obrázek 1" descr="Obsah obrázku text, Písmo, snímek obrazovky, rukopis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279" cy="24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5B61" w14:textId="0D5A91ED" w:rsidR="00CF39D8" w:rsidRDefault="00CF39D8" w:rsidP="00CF39D8">
      <w:pPr>
        <w:pStyle w:val="Titulek"/>
        <w:jc w:val="center"/>
      </w:pPr>
      <w:r>
        <w:t>Zdroj: vlastní zpracování</w:t>
      </w:r>
    </w:p>
    <w:p w14:paraId="2BE2AE1C" w14:textId="77777777" w:rsidR="00CF39D8" w:rsidRDefault="00CF39D8" w:rsidP="00CF39D8"/>
    <w:p w14:paraId="189708DA" w14:textId="2DC9529E" w:rsidR="00CF39D8" w:rsidRDefault="002428D8" w:rsidP="00CF39D8">
      <w:pPr>
        <w:pStyle w:val="Prvnodstavec"/>
      </w:pPr>
      <w:r>
        <w:t xml:space="preserve">Na Obr. 1 lze vidět, jak bylo avizováno využití ARIMA, ARIMAX, VAR a VARX modelů. V případě jednorozměrných modelů </w:t>
      </w:r>
      <w:r w:rsidR="003755E2">
        <w:t xml:space="preserve">označuje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755E2">
        <w:t xml:space="preserve"> cenu TSLA v čase t, a u ARIMAX ještě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755E2">
        <w:t xml:space="preserve"> označuje vektor exogenních proměnných.</w:t>
      </w:r>
      <w:r w:rsidR="002E5266">
        <w:t xml:space="preserve"> Pro vícerozměrné modely označuje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755E2">
        <w:t xml:space="preserve"> </w:t>
      </w:r>
      <w:r w:rsidR="002E5266">
        <w:t xml:space="preserve">vektor endogenních proměnných zahrnující cenu TSLA a dodatečné finanční veličiny. </w:t>
      </w:r>
      <w:r w:rsidR="00CF39D8">
        <w:t>Verze každého modelu s exogenními proměnnými byla vybrána právě pro zahrnutí zmíněných proměnných sentimentu investorů, či externích šoků informací investorů a „hypu“ této firmy. Taková specifikace umož</w:t>
      </w:r>
      <w:r w:rsidR="0069173A">
        <w:t>ň</w:t>
      </w:r>
      <w:r w:rsidR="00CF39D8">
        <w:t>uje porovnat</w:t>
      </w:r>
      <w:r w:rsidR="0069173A">
        <w:t xml:space="preserve"> přínos těchto proměnných oproti základním verzím modelů. Finanční data také umožňují vyzkoušet přístup s více časovými řadami současně, jelikož </w:t>
      </w:r>
      <w:r w:rsidR="003211A8">
        <w:t xml:space="preserve">buď přímo </w:t>
      </w:r>
      <w:r w:rsidR="0069173A">
        <w:t xml:space="preserve">z ceny takových aktiv </w:t>
      </w:r>
      <w:r w:rsidR="003211A8">
        <w:t>či přímo z trhu lze získat spoustu technických finančních indikátorů</w:t>
      </w:r>
      <w:r w:rsidR="0069173A">
        <w:t>, které by mohly prozrazovat něco o ceně do budoucna. Proto jsou modely rozdělené právě na jednodu</w:t>
      </w:r>
      <w:r w:rsidR="00534EA7">
        <w:t>š</w:t>
      </w:r>
      <w:r w:rsidR="0069173A">
        <w:t>ší ARIMA a VAR přístup.</w:t>
      </w:r>
    </w:p>
    <w:p w14:paraId="115195ED" w14:textId="05F14B30" w:rsidR="00535A27" w:rsidRDefault="00535A27" w:rsidP="00535A27">
      <w:pPr>
        <w:pStyle w:val="Dalodstavec"/>
      </w:pPr>
      <w:r>
        <w:t>Tyto modely jsou tedy označené jako teoretické, protože se zatím jedná pouze o teorii, s kterou tato práce přichází a bude dále uvedena do konkrétních mezí dále v práci. Cíl práce tedy konkrétně spočívá v porovnání predikcí využitím různých metrik</w:t>
      </w:r>
      <w:r w:rsidR="001A76C2">
        <w:t xml:space="preserve"> </w:t>
      </w:r>
      <w:r>
        <w:t>chyb predikce</w:t>
      </w:r>
      <w:r w:rsidR="001A76C2">
        <w:t xml:space="preserve"> (MSE, RMSE, MAE, MASE)</w:t>
      </w:r>
      <w:r>
        <w:t xml:space="preserve">. Porovnání predikcí bude hlavně mířit na výkonnost zavedení dodatečných exogenních proměnných v obou přístupech a také </w:t>
      </w:r>
      <w:r w:rsidR="00C53D02">
        <w:t>zdali</w:t>
      </w:r>
      <w:r>
        <w:t xml:space="preserve"> zahrnutí více finančních dat (VAR modely) je výhodnější oproti základnímu přístupu pouze s cenou akcie (ARIMA modely).</w:t>
      </w:r>
      <w:r w:rsidR="00E64EBE">
        <w:t xml:space="preserve"> </w:t>
      </w:r>
    </w:p>
    <w:p w14:paraId="0997A7AA" w14:textId="77777777" w:rsidR="00535A27" w:rsidRPr="00CF39D8" w:rsidRDefault="00535A27" w:rsidP="00535A27">
      <w:pPr>
        <w:pStyle w:val="Dalodstavec"/>
      </w:pPr>
    </w:p>
    <w:p w14:paraId="58BB3C9A" w14:textId="1C196AAE" w:rsidR="00AA2155" w:rsidRDefault="00AA2155" w:rsidP="00764497">
      <w:pPr>
        <w:pStyle w:val="Kapitola"/>
      </w:pPr>
      <w:r>
        <w:lastRenderedPageBreak/>
        <w:t xml:space="preserve">3   </w:t>
      </w:r>
      <w:r w:rsidR="00EA4B3A">
        <w:t>Použitá d</w:t>
      </w:r>
      <w:r w:rsidRPr="002C0167">
        <w:t>ata</w:t>
      </w:r>
      <w:r w:rsidR="00076C0C">
        <w:t xml:space="preserve"> a transformace</w:t>
      </w:r>
    </w:p>
    <w:p w14:paraId="2B3F60B9" w14:textId="5BC7795F" w:rsidR="00324F82" w:rsidRDefault="00324F82" w:rsidP="00324F82">
      <w:pPr>
        <w:pStyle w:val="Prvnodstavec"/>
      </w:pPr>
      <w:r>
        <w:t>Na základě prvotní teorii o různých specifikacích modelů představené v předchozí kapitoly byla dále získána data umožňující tuto analýzu. Data pro close cenu akcie TSLA a objem</w:t>
      </w:r>
      <w:r w:rsidR="000E639B">
        <w:t>u</w:t>
      </w:r>
      <w:r>
        <w:t xml:space="preserve"> obchodů na burze byla získána pomocí balíku tidyquant v R.</w:t>
      </w:r>
      <w:r w:rsidR="0046231A">
        <w:t xml:space="preserve"> Data pro volatilitu na trhu měřenou VIX indexem byla také získána za pomocí balíku tidyquant z R.</w:t>
      </w:r>
      <w:r>
        <w:t xml:space="preserve"> Data o vyhledávanosti pojmu „tesla“ na Googlu byla získána z Google Trends (2025).</w:t>
      </w:r>
      <w:r w:rsidR="000E639B">
        <w:t xml:space="preserve"> </w:t>
      </w:r>
      <w:r w:rsidR="00BB2EA0">
        <w:t>Od Dada Lyndell (2025) byla získána data tweetů Elona Muska mezi roky 2010 až 2025.</w:t>
      </w:r>
      <w:r w:rsidR="0097457B">
        <w:t xml:space="preserve"> </w:t>
      </w:r>
      <w:r w:rsidR="00211666">
        <w:t>Data sentimentu investorů na burze</w:t>
      </w:r>
      <w:r w:rsidR="007668E4">
        <w:t xml:space="preserve"> byla získána z průzkumů od</w:t>
      </w:r>
      <w:r w:rsidR="00211666">
        <w:t xml:space="preserve"> AAII (2025).</w:t>
      </w:r>
      <w:r w:rsidR="0046231A">
        <w:t xml:space="preserve"> </w:t>
      </w:r>
      <w:r w:rsidR="00830D27">
        <w:t>Dále byly využité různé proměnné technických indikátorů, které byla však spočítány přímo z proměnné close.</w:t>
      </w:r>
      <w:r w:rsidR="00B11F93">
        <w:t xml:space="preserve"> Pro data byla vybrána denní frekvence.</w:t>
      </w:r>
      <w:r w:rsidR="004A279A">
        <w:t xml:space="preserve"> Výsledný časový vzorek pro všechna data byl omezen na období 1. 12. 2011 až 25. 3. 2025. Toto je období po odstranění NA hodnot vzniklých při počítání některých indikátorů.</w:t>
      </w:r>
      <w:r w:rsidR="00B11F93">
        <w:t xml:space="preserve"> </w:t>
      </w:r>
    </w:p>
    <w:p w14:paraId="161B34E8" w14:textId="35CA2580" w:rsidR="00092747" w:rsidRDefault="00C85F75" w:rsidP="00092747">
      <w:pPr>
        <w:pStyle w:val="Dalodstavec"/>
      </w:pPr>
      <w:r>
        <w:t>Cílovou proměnnou pro predikce je tedy close (uzavírací cena na burze daný den</w:t>
      </w:r>
      <w:r w:rsidR="009B6923">
        <w:t xml:space="preserve"> v dolarech</w:t>
      </w:r>
      <w:r>
        <w:t>). Vývoj v čase této proměnné může být vidět na Obr. 2.</w:t>
      </w:r>
    </w:p>
    <w:p w14:paraId="0FD03D96" w14:textId="77777777" w:rsidR="00C31058" w:rsidRDefault="00C31058" w:rsidP="00092747">
      <w:pPr>
        <w:pStyle w:val="Dalodstavec"/>
      </w:pPr>
    </w:p>
    <w:p w14:paraId="33F07F10" w14:textId="6DC409C6" w:rsidR="00E83A8A" w:rsidRDefault="00CE390A" w:rsidP="00E83A8A">
      <w:pPr>
        <w:pStyle w:val="Dalodstavec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F5AE4C" wp14:editId="3C60C9C2">
            <wp:simplePos x="0" y="0"/>
            <wp:positionH relativeFrom="margin">
              <wp:align>center</wp:align>
            </wp:positionH>
            <wp:positionV relativeFrom="paragraph">
              <wp:posOffset>241143</wp:posOffset>
            </wp:positionV>
            <wp:extent cx="5568950" cy="3181985"/>
            <wp:effectExtent l="0" t="0" r="0" b="0"/>
            <wp:wrapTopAndBottom/>
            <wp:docPr id="111216296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6296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9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7B206" wp14:editId="14B7DBC8">
                <wp:simplePos x="0" y="0"/>
                <wp:positionH relativeFrom="column">
                  <wp:posOffset>1270</wp:posOffset>
                </wp:positionH>
                <wp:positionV relativeFrom="paragraph">
                  <wp:posOffset>3559175</wp:posOffset>
                </wp:positionV>
                <wp:extent cx="5759450" cy="635"/>
                <wp:effectExtent l="0" t="0" r="0" b="0"/>
                <wp:wrapTopAndBottom/>
                <wp:docPr id="107334042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06B537" w14:textId="3A1CE0B5" w:rsidR="006A09AC" w:rsidRPr="00835F08" w:rsidRDefault="006A09AC" w:rsidP="006A09AC">
                            <w:pPr>
                              <w:pStyle w:val="Titulek"/>
                              <w:jc w:val="center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>Zdroj: vlastní zpracování v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7B206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.1pt;margin-top:280.25pt;width:453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" stroked="f">
                <v:textbox style="mso-fit-shape-to-text:t" inset="0,0,0,0">
                  <w:txbxContent>
                    <w:p w14:paraId="5E06B537" w14:textId="3A1CE0B5" w:rsidR="006A09AC" w:rsidRPr="00835F08" w:rsidRDefault="006A09AC" w:rsidP="006A09AC">
                      <w:pPr>
                        <w:pStyle w:val="Titulek"/>
                        <w:jc w:val="center"/>
                        <w:rPr>
                          <w:rFonts w:cs="Times New Roman"/>
                          <w:noProof/>
                        </w:rPr>
                      </w:pPr>
                      <w:r>
                        <w:t>Zdroj: vlastní zpracování v 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3A8A">
        <w:rPr>
          <w:b/>
          <w:bCs/>
        </w:rPr>
        <w:t>Obr. 2: Vývoj close na celém odbobí</w:t>
      </w:r>
    </w:p>
    <w:p w14:paraId="7C5BA42F" w14:textId="77777777" w:rsidR="00C31058" w:rsidRDefault="00C31058" w:rsidP="007C32C6">
      <w:pPr>
        <w:pStyle w:val="Prvnodstavec"/>
      </w:pPr>
    </w:p>
    <w:p w14:paraId="5347547E" w14:textId="246503C7" w:rsidR="007C32C6" w:rsidRDefault="00FC31FA" w:rsidP="00E306D2">
      <w:pPr>
        <w:pStyle w:val="Prvnodstavec"/>
      </w:pPr>
      <w:r>
        <w:t>Tato proměnná je dále převedena na tzv. log return pomocí diference logaritmu. Tento krok je zvolen hlavně pro splnění podmínky stacionarity pro tuto řadu.</w:t>
      </w:r>
      <w:r w:rsidR="00764EDC">
        <w:t xml:space="preserve"> Výsledná řada už na základě ADF testu zamítá nulovou hypotézu o jednotkovém </w:t>
      </w:r>
      <w:r w:rsidR="008942D4">
        <w:t>kořenu,</w:t>
      </w:r>
      <w:r w:rsidR="00764EDC">
        <w:t xml:space="preserve"> a tak je připravená pro vstup do modelů.</w:t>
      </w:r>
    </w:p>
    <w:p w14:paraId="211A94C2" w14:textId="4F227D85" w:rsidR="00EE2844" w:rsidRPr="002C0167" w:rsidRDefault="00456D2B" w:rsidP="007C32C6">
      <w:pPr>
        <w:pStyle w:val="Prvnodstavec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79EC9" wp14:editId="7C7429FD">
                <wp:simplePos x="0" y="0"/>
                <wp:positionH relativeFrom="column">
                  <wp:posOffset>0</wp:posOffset>
                </wp:positionH>
                <wp:positionV relativeFrom="paragraph">
                  <wp:posOffset>3589655</wp:posOffset>
                </wp:positionV>
                <wp:extent cx="5747385" cy="635"/>
                <wp:effectExtent l="0" t="0" r="0" b="0"/>
                <wp:wrapTopAndBottom/>
                <wp:docPr id="152007102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B4CE49" w14:textId="6788A888" w:rsidR="00456D2B" w:rsidRPr="00634841" w:rsidRDefault="00456D2B" w:rsidP="00456D2B">
                            <w:pPr>
                              <w:pStyle w:val="Titulek"/>
                              <w:jc w:val="center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>Zdroj: vlastní zpracování v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79EC9" id="_x0000_s1027" type="#_x0000_t202" style="position:absolute;left:0;text-align:left;margin-left:0;margin-top:282.65pt;width:452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" stroked="f">
                <v:textbox style="mso-fit-shape-to-text:t" inset="0,0,0,0">
                  <w:txbxContent>
                    <w:p w14:paraId="3EB4CE49" w14:textId="6788A888" w:rsidR="00456D2B" w:rsidRPr="00634841" w:rsidRDefault="00456D2B" w:rsidP="00456D2B">
                      <w:pPr>
                        <w:pStyle w:val="Titulek"/>
                        <w:jc w:val="center"/>
                        <w:rPr>
                          <w:rFonts w:cs="Times New Roman"/>
                          <w:noProof/>
                        </w:rPr>
                      </w:pPr>
                      <w:r>
                        <w:t>Zdroj: vlastní zpracování v 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2844">
        <w:rPr>
          <w:noProof/>
        </w:rPr>
        <w:drawing>
          <wp:anchor distT="0" distB="0" distL="114300" distR="114300" simplePos="0" relativeHeight="251661312" behindDoc="0" locked="0" layoutInCell="1" allowOverlap="1" wp14:anchorId="6E9F0AF1" wp14:editId="75CE8EE0">
            <wp:simplePos x="0" y="0"/>
            <wp:positionH relativeFrom="margin">
              <wp:align>left</wp:align>
            </wp:positionH>
            <wp:positionV relativeFrom="paragraph">
              <wp:posOffset>249382</wp:posOffset>
            </wp:positionV>
            <wp:extent cx="5747385" cy="3283585"/>
            <wp:effectExtent l="0" t="0" r="5715" b="0"/>
            <wp:wrapTopAndBottom/>
            <wp:docPr id="1182938400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32C6">
        <w:rPr>
          <w:b/>
          <w:bCs/>
        </w:rPr>
        <w:t>Obr. 3: Vývoj log return</w:t>
      </w:r>
      <w:r w:rsidR="005D26BE">
        <w:rPr>
          <w:b/>
          <w:bCs/>
        </w:rPr>
        <w:t xml:space="preserve"> na celém období</w:t>
      </w:r>
    </w:p>
    <w:p w14:paraId="7F0A5AE3" w14:textId="77777777" w:rsidR="00C31058" w:rsidRDefault="00C31058" w:rsidP="00C31058">
      <w:pPr>
        <w:pStyle w:val="Prvnodstavec"/>
      </w:pPr>
    </w:p>
    <w:p w14:paraId="58E7A5FA" w14:textId="77777777" w:rsidR="00E306D2" w:rsidRDefault="00E306D2" w:rsidP="00E306D2">
      <w:pPr>
        <w:pStyle w:val="Prvnodstavec"/>
      </w:pPr>
      <w:r>
        <w:t>Následuje proměnná volume (objem obchodů akcie TSLA), která do modelů vstupuje ve své základní podobě.</w:t>
      </w:r>
    </w:p>
    <w:p w14:paraId="2E2B945E" w14:textId="2433A4D8" w:rsidR="00E306D2" w:rsidRDefault="00E306D2" w:rsidP="002C7FC9">
      <w:pPr>
        <w:pStyle w:val="Dalodstavec"/>
      </w:pPr>
      <w:r>
        <w:t>Z dodatečných veličin ceny je odvozena proměnná basic volatility, vyjádřená jako high – low. Měří jednoduchým způsobem volatilitu v rámci každého dne.</w:t>
      </w:r>
    </w:p>
    <w:p w14:paraId="3A22D3D9" w14:textId="49C76A53" w:rsidR="00C31058" w:rsidRDefault="008942D4" w:rsidP="00AE70E1">
      <w:pPr>
        <w:pStyle w:val="Dalodstavec"/>
      </w:pPr>
      <w:r>
        <w:t xml:space="preserve">Další proměnné lze označit společně do bloku technických indikátorů odvozených z ceny. </w:t>
      </w:r>
      <w:r w:rsidR="002C7FC9">
        <w:t xml:space="preserve">Konkrétně se jedná o </w:t>
      </w:r>
      <w:r w:rsidR="00F33342">
        <w:t xml:space="preserve">SMA </w:t>
      </w:r>
      <w:r w:rsidR="002C7FC9">
        <w:t xml:space="preserve">20, </w:t>
      </w:r>
      <w:r w:rsidR="00F33342">
        <w:t xml:space="preserve">SMA </w:t>
      </w:r>
      <w:r w:rsidR="002C7FC9">
        <w:t xml:space="preserve">50, </w:t>
      </w:r>
      <w:r w:rsidR="00F33342">
        <w:t>ATR</w:t>
      </w:r>
      <w:r w:rsidR="002C7FC9">
        <w:t xml:space="preserve">, </w:t>
      </w:r>
      <w:r w:rsidR="00F33342">
        <w:t>RSI</w:t>
      </w:r>
      <w:r w:rsidR="002C7FC9">
        <w:t xml:space="preserve">, </w:t>
      </w:r>
      <w:r w:rsidR="00F33342">
        <w:t>MACD</w:t>
      </w:r>
      <w:r w:rsidR="002C7FC9">
        <w:t xml:space="preserve">, </w:t>
      </w:r>
      <w:r w:rsidR="00F33342">
        <w:t xml:space="preserve">MACD </w:t>
      </w:r>
      <w:r w:rsidR="002C7FC9">
        <w:t xml:space="preserve">signal, </w:t>
      </w:r>
      <w:r w:rsidR="00F33342">
        <w:t>OBV</w:t>
      </w:r>
      <w:r w:rsidR="002C7FC9">
        <w:t xml:space="preserve">, </w:t>
      </w:r>
      <w:r w:rsidR="00F33342">
        <w:t xml:space="preserve">stochRSI </w:t>
      </w:r>
      <w:r w:rsidR="002C7FC9">
        <w:t>a</w:t>
      </w:r>
      <w:r w:rsidR="00F33342">
        <w:t xml:space="preserve"> ADX</w:t>
      </w:r>
      <w:r w:rsidR="002C7FC9">
        <w:t xml:space="preserve">. </w:t>
      </w:r>
      <w:r w:rsidR="00F33342">
        <w:t>Veličiny SMA</w:t>
      </w:r>
      <w:r w:rsidR="00132FF7">
        <w:t xml:space="preserve"> a MACD vyjadřují trend.</w:t>
      </w:r>
      <w:r w:rsidR="00AE70E1">
        <w:t xml:space="preserve"> MACD signal je pak nákupní / prodejní signál z hlediska MACD.</w:t>
      </w:r>
      <w:r w:rsidR="00132FF7">
        <w:t xml:space="preserve"> ADX měří sálu trendu, bez směru. RSI a stochRSI měří momentum obchodů dané akcie. ATR značí volatilitu. OBV vykazuje</w:t>
      </w:r>
      <w:r w:rsidR="00504C81">
        <w:t xml:space="preserve"> kumulativní objem obchodů s ohledem na směr cenového pohybu</w:t>
      </w:r>
      <w:r w:rsidR="00132FF7">
        <w:t>.</w:t>
      </w:r>
      <w:r w:rsidR="00690DC5">
        <w:t xml:space="preserve"> I spolu s ostatními proměnnými by hrozil problém s vysokým počtem proměnných v každém modelu, a tak analýza dále směřuje zmíněné technické proměnné do PCA analýzy. </w:t>
      </w:r>
      <w:r w:rsidR="00C768F3">
        <w:t xml:space="preserve">Tyto technické proměnné také bývají často korelované, což je solidní základ právě pro PCA. </w:t>
      </w:r>
      <w:r w:rsidR="00690DC5">
        <w:t xml:space="preserve">PCA analýza umožňuje snížit dimenze analýzy, a tak může dále vést k lepším odhadům modelů. Do PCA je celkem rozumné posílat stacionární proměnné, aby se např. přítomný trend dále nepromítal místo informacích v proměnných do výsledných PC. Z těchto proměnných jsou tedy SMA 20, SMA 50, ATR a OBV nejprve diferencovány, dále jsou všechny proměnné tohoto bloku normalizovány na průměr = 0 a sd = 1 (jako je běžné u PCA), a je </w:t>
      </w:r>
      <w:r w:rsidR="0099109A">
        <w:t xml:space="preserve">na nich </w:t>
      </w:r>
      <w:r w:rsidR="00690DC5">
        <w:t xml:space="preserve">provedena samotná PCA. Na základě Scree plot na celém vzorku dat, jsou vybrány první 4 PC (vysvětlující 80,8 % variance) dále jako vstupy do modelů. </w:t>
      </w:r>
    </w:p>
    <w:p w14:paraId="74690337" w14:textId="029845C1" w:rsidR="00934892" w:rsidRDefault="00934892" w:rsidP="00AE70E1">
      <w:pPr>
        <w:pStyle w:val="Dalodstavec"/>
      </w:pPr>
      <w:r>
        <w:t>Závěrečné další proměnné lze uvést v bloku jako právě exogenní proměnné</w:t>
      </w:r>
      <w:r w:rsidR="00AB5B0D">
        <w:t xml:space="preserve"> obsahující unikátnější data</w:t>
      </w:r>
      <w:r>
        <w:t xml:space="preserve">. Jedná se konkrétně o VIX close, což vyjadřuje uzavírací hodnotu indexu VIX měřící volatilitu na celém trhu. Tato proměnná je zvolena jako exogenní z důvodu relativně malého zastoupení firmy Tesla na celém americkém trhu, s praktickou nemožností index významně ovlivňovat a jedná se tak spíše o externí šok. </w:t>
      </w:r>
      <w:r w:rsidR="00BE38B4">
        <w:t xml:space="preserve">Další proměnnou jsou 4 umělé proměnné vytvořené následujícím způsobem. Zmíněná data tweetů Elona Muska jsou nejprve filtrována na klíčová slova jako „tesla“, „tsla“, „tesla stock“, „earnings“, „model (označení </w:t>
      </w:r>
      <w:r w:rsidR="00BE38B4">
        <w:lastRenderedPageBreak/>
        <w:t xml:space="preserve">modelu)“, cybertruck“ eletric car“ a podobně. </w:t>
      </w:r>
      <w:r w:rsidR="003B154A">
        <w:t xml:space="preserve">Jsou vybrána tak aby tweety obsahovali pouze výroky s možností ovlivnit investory a tím cenu TSLA na trhu. Dále jsou agregovány všechny tweety za jeden den právě do jednoho výroku na den. Pak je provedena sentiment analýza za pomocí </w:t>
      </w:r>
      <w:r w:rsidR="00BF5169">
        <w:t>machine learning</w:t>
      </w:r>
      <w:r w:rsidR="003B154A">
        <w:t xml:space="preserve"> opensource modelu FinBERT, která na základě těchto výroku vrací nejvíce pravděpodobný sentiment vyplívající z výroku, a to ve 3 úrovních (neutral, positive, negative). </w:t>
      </w:r>
      <w:r w:rsidR="00E86F32">
        <w:t xml:space="preserve">Tento sentiment tedy </w:t>
      </w:r>
      <w:r w:rsidR="00DE0CD0">
        <w:t>vyjadřuje</w:t>
      </w:r>
      <w:r w:rsidR="00E86F32">
        <w:t xml:space="preserve"> celkový sentiment všech tweetů za daný den. </w:t>
      </w:r>
      <w:r w:rsidR="003B154A">
        <w:t xml:space="preserve">Dále jsou označeny dny bez tweetu úrovní „none“. Úroveň none je využitá pouze jako referenční úroveň a do modelu vstupují pouze proměnné neutral, positive, negative. </w:t>
      </w:r>
      <w:r w:rsidR="00772CC9">
        <w:t xml:space="preserve">Další proměnou jsou již avizována data z Google trends. Tato data nabývají hodnot mezi </w:t>
      </w:r>
      <w:r w:rsidR="00E86F32">
        <w:t>0–100</w:t>
      </w:r>
      <w:r w:rsidR="00772CC9">
        <w:t xml:space="preserve"> v závislosti na relativní vyhledávanosti v zvoleném časovém období. </w:t>
      </w:r>
      <w:r w:rsidR="004C3B6C">
        <w:t xml:space="preserve">Vyhledávaný termín je </w:t>
      </w:r>
      <w:r w:rsidR="000A2883">
        <w:t>přímo</w:t>
      </w:r>
      <w:r w:rsidR="004C3B6C">
        <w:t xml:space="preserve"> slovo „tesla“. </w:t>
      </w:r>
      <w:r w:rsidR="0069174E">
        <w:t xml:space="preserve">Jako oblast jsou vybrány pouze Spojené státy, které by měly mít na US trh největší a nejrychlejší vliv. </w:t>
      </w:r>
      <w:r w:rsidR="000A2883">
        <w:t>Google trends na delší období dodává pouze měsíční frekvenci dat, a tak jsou data převedena na denní způsobem replikování dané měsíční hodnoty každý den v daném měsíci.</w:t>
      </w:r>
      <w:r w:rsidR="00505189">
        <w:t xml:space="preserve"> Jako </w:t>
      </w:r>
      <w:r w:rsidR="00F11FA9">
        <w:t>poslední</w:t>
      </w:r>
      <w:r w:rsidR="00505189">
        <w:t xml:space="preserve"> dvě proměnné tohoto bloku </w:t>
      </w:r>
      <w:r w:rsidR="00F11FA9">
        <w:t xml:space="preserve">jsou proměnné sentimentu z průzkumu mezi investory. Tato data obsahují procentuální zastoupení investorů, co jsou bulish (cena poroste), bearish (cena klesne) anebo neutral. Zde se jedná o týdenní data, a tak jsou stejným přístupem jako pro Google trends převedena na denní. Z bulish a bearish je vytvořena proměnná jejich spreadu. Proměnné vstupující do modelu jsou tedy tento bull bear spread a zastoupeni neutral investorů. </w:t>
      </w:r>
      <w:r w:rsidR="00145753">
        <w:t>Všechny exogenní proměnné tohoto bloku byly dále zpožděny o jedno období (1 den), z důvodu předpokladu zpožděné reakce trhu na takové informace a také z důvodu následného predikování na 1 den do budoucna, který by jinak vyžadoval i predikci těchto proměnných.</w:t>
      </w:r>
      <w:r w:rsidR="0008327F">
        <w:t xml:space="preserve"> V příloze B jsou uvedeny grafy ukazující spojitost mezi vývojem bulish / bearish investorů a close ceny TSLA a také sentiment vyplívající z tweetů Elona Muska na celém vývoji close.</w:t>
      </w:r>
    </w:p>
    <w:p w14:paraId="4DC26892" w14:textId="3FB2A596" w:rsidR="00204F16" w:rsidRDefault="00204F16" w:rsidP="00AE70E1">
      <w:pPr>
        <w:pStyle w:val="Dalodstavec"/>
      </w:pPr>
      <w:r>
        <w:t>Všechny</w:t>
      </w:r>
      <w:r w:rsidR="00ED1FB4">
        <w:t xml:space="preserve"> </w:t>
      </w:r>
      <w:r>
        <w:t xml:space="preserve">výsledné proměnné </w:t>
      </w:r>
      <w:r w:rsidR="00ED1FB4">
        <w:t xml:space="preserve">po úpravách a transformacích </w:t>
      </w:r>
      <w:r>
        <w:t>byly pomocí ADF testu testovány na přítomnost jednotkového kořene na hladině významnosti 5 %. V </w:t>
      </w:r>
      <w:r w:rsidR="00722AB7">
        <w:t>každém</w:t>
      </w:r>
      <w:r>
        <w:t xml:space="preserve"> případě byla nulová hypotéza zamítnuta indikující stacionaritu na celém vzorku dat.</w:t>
      </w:r>
    </w:p>
    <w:p w14:paraId="274CAC44" w14:textId="056BED4A" w:rsidR="00D37D60" w:rsidRDefault="003636E9" w:rsidP="00934892">
      <w:pPr>
        <w:pStyle w:val="Kapitola"/>
        <w:numPr>
          <w:ilvl w:val="0"/>
          <w:numId w:val="0"/>
        </w:numPr>
      </w:pPr>
      <w:r>
        <w:t>4  Odhady</w:t>
      </w:r>
      <w:r w:rsidR="00C5537A" w:rsidRPr="002C0167">
        <w:t xml:space="preserve"> model</w:t>
      </w:r>
      <w:r w:rsidR="00016A8E">
        <w:t>ů</w:t>
      </w:r>
    </w:p>
    <w:p w14:paraId="2005B930" w14:textId="7E5EDAF7" w:rsidR="00016A8E" w:rsidRDefault="00EE15F7" w:rsidP="00016A8E">
      <w:pPr>
        <w:pStyle w:val="Prvnodstavec"/>
      </w:pPr>
      <w:r>
        <w:t>S nyní již kompletním setem proměnných jsou modely připravené pro odhady. Do ARIMA a ARIMAX modelů vstupuje vždy log return podoba close a v případě ARIMX ještě blok exogenních proměnných, a to tweets_sentiment – neutral, positive, negative a VIX index, Google trends data, bull-bear spread, a neutral survey sentiment.</w:t>
      </w:r>
      <w:r w:rsidR="00D800A6">
        <w:t xml:space="preserve"> V případě VAR modelů je to vždy log return podoba close, volume, basic volatility a PC1, PC2, PC3, PC4 komponenty získané z PCA analýzy jako set endogenních proměnných</w:t>
      </w:r>
      <w:r w:rsidR="008D3E1C">
        <w:t>. Pro VARX je to stejný blok endogenních s </w:t>
      </w:r>
      <w:r w:rsidR="00E31E0C">
        <w:t>přidanými</w:t>
      </w:r>
      <w:r w:rsidR="008D3E1C">
        <w:t xml:space="preserve"> stejnými exogenními proměnnými jako v případě ARIMAX.</w:t>
      </w:r>
      <w:r w:rsidR="0095381A">
        <w:t xml:space="preserve"> </w:t>
      </w:r>
      <w:r w:rsidR="004F6CBD" w:rsidRPr="004F6CBD">
        <w:t>Exogenní proměnné byly do modelu zavedeny se zpožděním</w:t>
      </w:r>
      <w:r w:rsidR="00BD1C56">
        <w:t>, jak již bylo zmíněno,</w:t>
      </w:r>
      <w:r w:rsidR="004F6CBD" w:rsidRPr="004F6CBD">
        <w:t xml:space="preserve"> což umožňuje jejich reálné použití při predikci bez nutnosti jejich budoucí znalosti. Při každé predikci byly exogenní vstupy aktualizovány o nejnovější dostupné hodnoty, které nebyly použity při tréninku modelu, ale jsou v čase predikce realisticky dostupné</w:t>
      </w:r>
      <w:r w:rsidR="00E266F3">
        <w:t xml:space="preserve">, tj. dodržuje se reálná časová dostupnost dat. Když tedy model predikuje close na čas t + 1, a vyžaduje budoucí hodnoty exogenních proměnných v čase t + 1, z důvodu jejich zpoždění jsou tyto hodnoty dostupné a jsou to hodnoty </w:t>
      </w:r>
      <w:r w:rsidR="007A7B73">
        <w:t>fakticky</w:t>
      </w:r>
      <w:r w:rsidR="00E266F3">
        <w:t xml:space="preserve"> v čase t.</w:t>
      </w:r>
    </w:p>
    <w:p w14:paraId="5F991EA9" w14:textId="2DB53C22" w:rsidR="0099109A" w:rsidRPr="002C0167" w:rsidRDefault="0086340F" w:rsidP="00E94015">
      <w:pPr>
        <w:pStyle w:val="Dalodstavec"/>
      </w:pPr>
      <w:r>
        <w:t>Metoda odhadu v této práci je rolling window predikce.</w:t>
      </w:r>
      <w:r w:rsidR="00093611">
        <w:t xml:space="preserve"> Práce sleduje pouze jednoikrokové predikce.</w:t>
      </w:r>
      <w:r>
        <w:t xml:space="preserve"> V případě dat o akcii mohou být podmínky na trhu i pozice dané firmy často variabilní v čase, a tak by mohlo rolling window být více vystihující než např. expanding window</w:t>
      </w:r>
      <w:r w:rsidR="00CE17F3">
        <w:t>, kde mohou zůstat „staré“ vztahy v datech</w:t>
      </w:r>
      <w:r>
        <w:t>.</w:t>
      </w:r>
      <w:r w:rsidR="00205081">
        <w:t xml:space="preserve"> Velikost okna byla vybrána jako 120</w:t>
      </w:r>
      <w:r w:rsidR="009B56CA">
        <w:t>2</w:t>
      </w:r>
      <w:r w:rsidR="00205081">
        <w:t xml:space="preserve"> dní z důvodu </w:t>
      </w:r>
      <w:r w:rsidR="00205081">
        <w:lastRenderedPageBreak/>
        <w:t xml:space="preserve">vysokého počtu parametrů (velký počet proměnných), které musí být odhadnuty. </w:t>
      </w:r>
      <w:r w:rsidR="00582D3C">
        <w:t>Toto okno</w:t>
      </w:r>
      <w:r w:rsidR="003978DE">
        <w:t xml:space="preserve"> (2 dny navíc)</w:t>
      </w:r>
      <w:r w:rsidR="00582D3C">
        <w:t xml:space="preserve"> je vybráno i z důvodu různého řádu </w:t>
      </w:r>
      <w:r w:rsidR="009B56CA">
        <w:t>zpoždění mezi</w:t>
      </w:r>
      <w:r w:rsidR="00582D3C">
        <w:t xml:space="preserve"> </w:t>
      </w:r>
      <w:r w:rsidR="009B56CA">
        <w:t>modely,</w:t>
      </w:r>
      <w:r w:rsidR="00582D3C">
        <w:t xml:space="preserve"> a tak nutnosti uměle zarovnávat data</w:t>
      </w:r>
      <w:r w:rsidR="000D1D97">
        <w:t xml:space="preserve"> v každém běhu</w:t>
      </w:r>
      <w:r w:rsidR="00A770DD">
        <w:t xml:space="preserve"> tak,</w:t>
      </w:r>
      <w:r w:rsidR="00582D3C">
        <w:t xml:space="preserve"> aby nedošlo k odhadům modelů na různém </w:t>
      </w:r>
      <w:r w:rsidR="009B56CA">
        <w:t>vzorku,</w:t>
      </w:r>
      <w:r w:rsidR="00582D3C">
        <w:t xml:space="preserve"> a tak nemožnosti modely přímo porovnávat. </w:t>
      </w:r>
      <w:r w:rsidR="009B56CA">
        <w:t>Zpoždění byla nejdříve vybrána na základě funkce auto.arima a VARselect přímo v</w:t>
      </w:r>
      <w:r w:rsidR="00874B07">
        <w:t> </w:t>
      </w:r>
      <w:r w:rsidR="009B56CA">
        <w:t>R</w:t>
      </w:r>
      <w:r w:rsidR="00874B07">
        <w:t xml:space="preserve"> nejprve na celém vzorku dat</w:t>
      </w:r>
      <w:r w:rsidR="009B56CA">
        <w:t>.</w:t>
      </w:r>
      <w:r w:rsidR="00C43FB6">
        <w:t xml:space="preserve"> Tato zpoždění byla dále otestována již na </w:t>
      </w:r>
      <w:r w:rsidR="004706A6">
        <w:t>sledované</w:t>
      </w:r>
      <w:r w:rsidR="00C43FB6">
        <w:t xml:space="preserve"> rolling window metod</w:t>
      </w:r>
      <w:r w:rsidR="00890FF6">
        <w:t>ě</w:t>
      </w:r>
      <w:r w:rsidR="00C43FB6">
        <w:t>.</w:t>
      </w:r>
      <w:r w:rsidR="009B56CA">
        <w:t xml:space="preserve"> Dále byla manuálně otestována další různá zpoždění. Výsledné</w:t>
      </w:r>
      <w:r w:rsidR="0020785A">
        <w:t xml:space="preserve"> vybrané</w:t>
      </w:r>
      <w:r w:rsidR="009B56CA">
        <w:t xml:space="preserve"> řády jsou tedy (</w:t>
      </w:r>
      <w:r w:rsidR="0012443B">
        <w:t xml:space="preserve">p = </w:t>
      </w:r>
      <w:r w:rsidR="009B56CA">
        <w:t xml:space="preserve">1, </w:t>
      </w:r>
      <w:r w:rsidR="00F74F2E">
        <w:t xml:space="preserve">d = </w:t>
      </w:r>
      <w:r w:rsidR="009B56CA">
        <w:t xml:space="preserve">0, </w:t>
      </w:r>
      <w:r w:rsidR="0012443B">
        <w:t xml:space="preserve">q = </w:t>
      </w:r>
      <w:r w:rsidR="009B56CA">
        <w:t>1) pro ARIMA a ARIMAX a (p = 2) pro VAR a VARX. Tato zpoždění vedla k nejlepším predikčním výsledkům.</w:t>
      </w:r>
      <w:r w:rsidR="00C873D2">
        <w:t xml:space="preserve"> Je také důležité zmínit, že v případě ARIMA a ARIMAX byl vybrán „CSS-ML“ estimátor, který zajistil lepší konvergenci a stabilitu parametrů než defaultní „CSS“.</w:t>
      </w:r>
      <w:r w:rsidR="004F55E6">
        <w:t xml:space="preserve"> Také zmiňovaná PCA analýza proměnných byla provedena vždy odděleně v každém běhu každého okna odhadů z důvodu vyhnutí se problému data leakage. </w:t>
      </w:r>
    </w:p>
    <w:p w14:paraId="01A65196" w14:textId="25E5437D" w:rsidR="00E83735" w:rsidRDefault="00934892" w:rsidP="00764497">
      <w:pPr>
        <w:pStyle w:val="Kapitola"/>
      </w:pPr>
      <w:r>
        <w:t>5</w:t>
      </w:r>
      <w:r w:rsidR="00E83735" w:rsidRPr="002C0167">
        <w:tab/>
      </w:r>
      <w:r w:rsidR="002E5BA8">
        <w:t>Predikce modelů</w:t>
      </w:r>
      <w:r w:rsidR="00E83735" w:rsidRPr="002C0167">
        <w:t xml:space="preserve"> </w:t>
      </w:r>
    </w:p>
    <w:p w14:paraId="3D61B854" w14:textId="6A891988" w:rsidR="009B3781" w:rsidRDefault="007F7C07" w:rsidP="009B3781">
      <w:pPr>
        <w:pStyle w:val="Prvnodstavec"/>
      </w:pPr>
      <w:r>
        <w:t>S připravenými daty, popsaným způsobem odhadu modelů jsou tedy odhady provedeny. Dále jsou spočítány kritéria hodnocení predikcí získaných z rozdílu realizovaných a predikovaných hodnot. Mezi modely je také uveden naivní model jako kritérium, zdali mají modely vůbec smysl. Metriky ukazuje Tab. 1.</w:t>
      </w:r>
    </w:p>
    <w:p w14:paraId="04DF7A7A" w14:textId="77777777" w:rsidR="00EF59F7" w:rsidRDefault="00EF59F7" w:rsidP="009B3781">
      <w:pPr>
        <w:pStyle w:val="Prvnodstavec"/>
      </w:pPr>
    </w:p>
    <w:p w14:paraId="6DC71BB9" w14:textId="718D6FE8" w:rsidR="007F7C07" w:rsidRDefault="00D33D04" w:rsidP="00D33D04">
      <w:pPr>
        <w:pStyle w:val="Prvnodstavec"/>
        <w:jc w:val="center"/>
        <w:rPr>
          <w:b/>
          <w:bCs/>
        </w:rPr>
      </w:pPr>
      <w:r>
        <w:rPr>
          <w:b/>
          <w:bCs/>
        </w:rPr>
        <w:t>Tab. 1: Metriky odhadnutých predikcí</w:t>
      </w:r>
    </w:p>
    <w:tbl>
      <w:tblPr>
        <w:tblStyle w:val="Prosttabulka3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362"/>
        <w:gridCol w:w="1362"/>
        <w:gridCol w:w="1362"/>
        <w:gridCol w:w="1362"/>
      </w:tblGrid>
      <w:tr w:rsidR="008357FE" w:rsidRPr="008357FE" w14:paraId="4E3D9DC7" w14:textId="77777777" w:rsidTr="00835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  <w:noWrap/>
            <w:vAlign w:val="center"/>
            <w:hideMark/>
          </w:tcPr>
          <w:p w14:paraId="65318868" w14:textId="77777777" w:rsidR="008357FE" w:rsidRPr="008357FE" w:rsidRDefault="008357FE" w:rsidP="008357FE">
            <w:pPr>
              <w:pStyle w:val="Prvnodstavec"/>
              <w:jc w:val="center"/>
            </w:pPr>
            <w:r w:rsidRPr="008357FE">
              <w:t>Model</w:t>
            </w:r>
          </w:p>
        </w:tc>
        <w:tc>
          <w:tcPr>
            <w:tcW w:w="1362" w:type="dxa"/>
            <w:noWrap/>
            <w:vAlign w:val="center"/>
            <w:hideMark/>
          </w:tcPr>
          <w:p w14:paraId="384AD8E5" w14:textId="77777777" w:rsidR="008357FE" w:rsidRPr="008357FE" w:rsidRDefault="008357FE" w:rsidP="008357FE">
            <w:pPr>
              <w:pStyle w:val="Prvnodstave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7FE">
              <w:t>MSE</w:t>
            </w:r>
          </w:p>
        </w:tc>
        <w:tc>
          <w:tcPr>
            <w:tcW w:w="1362" w:type="dxa"/>
            <w:noWrap/>
            <w:vAlign w:val="center"/>
            <w:hideMark/>
          </w:tcPr>
          <w:p w14:paraId="2A6F9E3D" w14:textId="77777777" w:rsidR="008357FE" w:rsidRPr="008357FE" w:rsidRDefault="008357FE" w:rsidP="008357FE">
            <w:pPr>
              <w:pStyle w:val="Prvnodstave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7FE">
              <w:t>RMSE</w:t>
            </w:r>
          </w:p>
        </w:tc>
        <w:tc>
          <w:tcPr>
            <w:tcW w:w="1362" w:type="dxa"/>
            <w:noWrap/>
            <w:vAlign w:val="center"/>
            <w:hideMark/>
          </w:tcPr>
          <w:p w14:paraId="171643DC" w14:textId="77777777" w:rsidR="008357FE" w:rsidRPr="008357FE" w:rsidRDefault="008357FE" w:rsidP="008357FE">
            <w:pPr>
              <w:pStyle w:val="Prvnodstave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7FE">
              <w:t>MAE</w:t>
            </w:r>
          </w:p>
        </w:tc>
        <w:tc>
          <w:tcPr>
            <w:tcW w:w="1362" w:type="dxa"/>
            <w:noWrap/>
            <w:vAlign w:val="center"/>
            <w:hideMark/>
          </w:tcPr>
          <w:p w14:paraId="4C35FD27" w14:textId="77777777" w:rsidR="008357FE" w:rsidRPr="008357FE" w:rsidRDefault="008357FE" w:rsidP="008357FE">
            <w:pPr>
              <w:pStyle w:val="Prvnodstave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57FE">
              <w:t>MASE</w:t>
            </w:r>
          </w:p>
        </w:tc>
      </w:tr>
      <w:tr w:rsidR="008357FE" w:rsidRPr="008357FE" w14:paraId="47D29128" w14:textId="77777777" w:rsidTr="0083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noWrap/>
            <w:vAlign w:val="center"/>
            <w:hideMark/>
          </w:tcPr>
          <w:p w14:paraId="2CDAC89D" w14:textId="77777777" w:rsidR="008357FE" w:rsidRPr="008357FE" w:rsidRDefault="008357FE" w:rsidP="008357FE">
            <w:pPr>
              <w:pStyle w:val="Prvnodstavec"/>
              <w:jc w:val="center"/>
            </w:pPr>
            <w:r w:rsidRPr="008357FE">
              <w:t>ARIMA</w:t>
            </w:r>
          </w:p>
        </w:tc>
        <w:tc>
          <w:tcPr>
            <w:tcW w:w="1362" w:type="dxa"/>
            <w:noWrap/>
            <w:vAlign w:val="center"/>
            <w:hideMark/>
          </w:tcPr>
          <w:p w14:paraId="604F0966" w14:textId="77777777" w:rsidR="008357FE" w:rsidRPr="008357FE" w:rsidRDefault="008357FE" w:rsidP="008357FE">
            <w:pPr>
              <w:pStyle w:val="Prvnodstave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0,001448</w:t>
            </w:r>
          </w:p>
        </w:tc>
        <w:tc>
          <w:tcPr>
            <w:tcW w:w="1362" w:type="dxa"/>
            <w:noWrap/>
            <w:vAlign w:val="center"/>
            <w:hideMark/>
          </w:tcPr>
          <w:p w14:paraId="53286A24" w14:textId="77777777" w:rsidR="008357FE" w:rsidRPr="008357FE" w:rsidRDefault="008357FE" w:rsidP="008357FE">
            <w:pPr>
              <w:pStyle w:val="Prvnodstave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0,038052</w:t>
            </w:r>
          </w:p>
        </w:tc>
        <w:tc>
          <w:tcPr>
            <w:tcW w:w="1362" w:type="dxa"/>
            <w:noWrap/>
            <w:vAlign w:val="center"/>
            <w:hideMark/>
          </w:tcPr>
          <w:p w14:paraId="507CC9FC" w14:textId="77777777" w:rsidR="008357FE" w:rsidRPr="008357FE" w:rsidRDefault="008357FE" w:rsidP="008357FE">
            <w:pPr>
              <w:pStyle w:val="Prvnodstave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0,026705</w:t>
            </w:r>
          </w:p>
        </w:tc>
        <w:tc>
          <w:tcPr>
            <w:tcW w:w="1362" w:type="dxa"/>
            <w:noWrap/>
            <w:vAlign w:val="center"/>
            <w:hideMark/>
          </w:tcPr>
          <w:p w14:paraId="5E5D9965" w14:textId="77777777" w:rsidR="008357FE" w:rsidRPr="008357FE" w:rsidRDefault="008357FE" w:rsidP="008357FE">
            <w:pPr>
              <w:pStyle w:val="Prvnodstave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0,682347</w:t>
            </w:r>
          </w:p>
        </w:tc>
      </w:tr>
      <w:tr w:rsidR="008357FE" w:rsidRPr="008357FE" w14:paraId="59E20941" w14:textId="77777777" w:rsidTr="008357FE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noWrap/>
            <w:vAlign w:val="center"/>
            <w:hideMark/>
          </w:tcPr>
          <w:p w14:paraId="741780B9" w14:textId="77777777" w:rsidR="008357FE" w:rsidRPr="008357FE" w:rsidRDefault="008357FE" w:rsidP="008357FE">
            <w:pPr>
              <w:pStyle w:val="Prvnodstavec"/>
              <w:jc w:val="center"/>
            </w:pPr>
            <w:r w:rsidRPr="008357FE">
              <w:t>ARIMAX</w:t>
            </w:r>
          </w:p>
        </w:tc>
        <w:tc>
          <w:tcPr>
            <w:tcW w:w="1362" w:type="dxa"/>
            <w:noWrap/>
            <w:vAlign w:val="center"/>
            <w:hideMark/>
          </w:tcPr>
          <w:p w14:paraId="44B22734" w14:textId="77777777" w:rsidR="008357FE" w:rsidRPr="008357FE" w:rsidRDefault="008357FE" w:rsidP="008357FE">
            <w:pPr>
              <w:pStyle w:val="Prvnodstave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0,001465</w:t>
            </w:r>
          </w:p>
        </w:tc>
        <w:tc>
          <w:tcPr>
            <w:tcW w:w="1362" w:type="dxa"/>
            <w:noWrap/>
            <w:vAlign w:val="center"/>
            <w:hideMark/>
          </w:tcPr>
          <w:p w14:paraId="0196C23F" w14:textId="77777777" w:rsidR="008357FE" w:rsidRPr="008357FE" w:rsidRDefault="008357FE" w:rsidP="008357FE">
            <w:pPr>
              <w:pStyle w:val="Prvnodstave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0,03827</w:t>
            </w:r>
          </w:p>
        </w:tc>
        <w:tc>
          <w:tcPr>
            <w:tcW w:w="1362" w:type="dxa"/>
            <w:noWrap/>
            <w:vAlign w:val="center"/>
            <w:hideMark/>
          </w:tcPr>
          <w:p w14:paraId="0FA6A1E3" w14:textId="77777777" w:rsidR="008357FE" w:rsidRPr="008357FE" w:rsidRDefault="008357FE" w:rsidP="008357FE">
            <w:pPr>
              <w:pStyle w:val="Prvnodstave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0,026838</w:t>
            </w:r>
          </w:p>
        </w:tc>
        <w:tc>
          <w:tcPr>
            <w:tcW w:w="1362" w:type="dxa"/>
            <w:noWrap/>
            <w:vAlign w:val="center"/>
            <w:hideMark/>
          </w:tcPr>
          <w:p w14:paraId="069D4162" w14:textId="77777777" w:rsidR="008357FE" w:rsidRPr="008357FE" w:rsidRDefault="008357FE" w:rsidP="008357FE">
            <w:pPr>
              <w:pStyle w:val="Prvnodstave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0,685761</w:t>
            </w:r>
          </w:p>
        </w:tc>
      </w:tr>
      <w:tr w:rsidR="008357FE" w:rsidRPr="008357FE" w14:paraId="6460F290" w14:textId="77777777" w:rsidTr="0083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noWrap/>
            <w:vAlign w:val="center"/>
            <w:hideMark/>
          </w:tcPr>
          <w:p w14:paraId="4F89F118" w14:textId="77777777" w:rsidR="008357FE" w:rsidRPr="008357FE" w:rsidRDefault="008357FE" w:rsidP="008357FE">
            <w:pPr>
              <w:pStyle w:val="Prvnodstavec"/>
              <w:jc w:val="center"/>
            </w:pPr>
            <w:r w:rsidRPr="008357FE">
              <w:t>VAR</w:t>
            </w:r>
          </w:p>
        </w:tc>
        <w:tc>
          <w:tcPr>
            <w:tcW w:w="1362" w:type="dxa"/>
            <w:noWrap/>
            <w:vAlign w:val="center"/>
            <w:hideMark/>
          </w:tcPr>
          <w:p w14:paraId="79F30C38" w14:textId="77777777" w:rsidR="008357FE" w:rsidRPr="008357FE" w:rsidRDefault="008357FE" w:rsidP="008357FE">
            <w:pPr>
              <w:pStyle w:val="Prvnodstave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0,001463</w:t>
            </w:r>
          </w:p>
        </w:tc>
        <w:tc>
          <w:tcPr>
            <w:tcW w:w="1362" w:type="dxa"/>
            <w:noWrap/>
            <w:vAlign w:val="center"/>
            <w:hideMark/>
          </w:tcPr>
          <w:p w14:paraId="7C28ACC3" w14:textId="77777777" w:rsidR="008357FE" w:rsidRPr="008357FE" w:rsidRDefault="008357FE" w:rsidP="008357FE">
            <w:pPr>
              <w:pStyle w:val="Prvnodstave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0,03825</w:t>
            </w:r>
          </w:p>
        </w:tc>
        <w:tc>
          <w:tcPr>
            <w:tcW w:w="1362" w:type="dxa"/>
            <w:noWrap/>
            <w:vAlign w:val="center"/>
            <w:hideMark/>
          </w:tcPr>
          <w:p w14:paraId="3F78AEC0" w14:textId="77777777" w:rsidR="008357FE" w:rsidRPr="008357FE" w:rsidRDefault="008357FE" w:rsidP="008357FE">
            <w:pPr>
              <w:pStyle w:val="Prvnodstave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0,0271</w:t>
            </w:r>
          </w:p>
        </w:tc>
        <w:tc>
          <w:tcPr>
            <w:tcW w:w="1362" w:type="dxa"/>
            <w:noWrap/>
            <w:vAlign w:val="center"/>
            <w:hideMark/>
          </w:tcPr>
          <w:p w14:paraId="13D4C39C" w14:textId="77777777" w:rsidR="008357FE" w:rsidRPr="008357FE" w:rsidRDefault="008357FE" w:rsidP="008357FE">
            <w:pPr>
              <w:pStyle w:val="Prvnodstave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0,692455</w:t>
            </w:r>
          </w:p>
        </w:tc>
      </w:tr>
      <w:tr w:rsidR="008357FE" w:rsidRPr="008357FE" w14:paraId="441D2E3F" w14:textId="77777777" w:rsidTr="008357FE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noWrap/>
            <w:vAlign w:val="center"/>
            <w:hideMark/>
          </w:tcPr>
          <w:p w14:paraId="764675AC" w14:textId="77777777" w:rsidR="008357FE" w:rsidRPr="008357FE" w:rsidRDefault="008357FE" w:rsidP="008357FE">
            <w:pPr>
              <w:pStyle w:val="Prvnodstavec"/>
              <w:jc w:val="center"/>
            </w:pPr>
            <w:r w:rsidRPr="008357FE">
              <w:t>VARX</w:t>
            </w:r>
          </w:p>
        </w:tc>
        <w:tc>
          <w:tcPr>
            <w:tcW w:w="1362" w:type="dxa"/>
            <w:noWrap/>
            <w:vAlign w:val="center"/>
            <w:hideMark/>
          </w:tcPr>
          <w:p w14:paraId="081D2EE4" w14:textId="77777777" w:rsidR="008357FE" w:rsidRPr="008357FE" w:rsidRDefault="008357FE" w:rsidP="008357FE">
            <w:pPr>
              <w:pStyle w:val="Prvnodstave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0,001478</w:t>
            </w:r>
          </w:p>
        </w:tc>
        <w:tc>
          <w:tcPr>
            <w:tcW w:w="1362" w:type="dxa"/>
            <w:noWrap/>
            <w:vAlign w:val="center"/>
            <w:hideMark/>
          </w:tcPr>
          <w:p w14:paraId="629C876A" w14:textId="77777777" w:rsidR="008357FE" w:rsidRPr="008357FE" w:rsidRDefault="008357FE" w:rsidP="008357FE">
            <w:pPr>
              <w:pStyle w:val="Prvnodstave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0,038438</w:t>
            </w:r>
          </w:p>
        </w:tc>
        <w:tc>
          <w:tcPr>
            <w:tcW w:w="1362" w:type="dxa"/>
            <w:noWrap/>
            <w:vAlign w:val="center"/>
            <w:hideMark/>
          </w:tcPr>
          <w:p w14:paraId="2A03DC41" w14:textId="77777777" w:rsidR="008357FE" w:rsidRPr="008357FE" w:rsidRDefault="008357FE" w:rsidP="008357FE">
            <w:pPr>
              <w:pStyle w:val="Prvnodstave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0,027245</w:t>
            </w:r>
          </w:p>
        </w:tc>
        <w:tc>
          <w:tcPr>
            <w:tcW w:w="1362" w:type="dxa"/>
            <w:noWrap/>
            <w:vAlign w:val="center"/>
            <w:hideMark/>
          </w:tcPr>
          <w:p w14:paraId="71256EEB" w14:textId="77777777" w:rsidR="008357FE" w:rsidRPr="008357FE" w:rsidRDefault="008357FE" w:rsidP="008357FE">
            <w:pPr>
              <w:pStyle w:val="Prvnodstave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0,69616</w:t>
            </w:r>
          </w:p>
        </w:tc>
      </w:tr>
      <w:tr w:rsidR="008357FE" w:rsidRPr="008357FE" w14:paraId="2CCDAD11" w14:textId="77777777" w:rsidTr="00835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noWrap/>
            <w:vAlign w:val="center"/>
            <w:hideMark/>
          </w:tcPr>
          <w:p w14:paraId="2E8410E9" w14:textId="77777777" w:rsidR="008357FE" w:rsidRPr="008357FE" w:rsidRDefault="008357FE" w:rsidP="008357FE">
            <w:pPr>
              <w:pStyle w:val="Prvnodstavec"/>
              <w:jc w:val="center"/>
            </w:pPr>
            <w:r w:rsidRPr="008357FE">
              <w:t>NAIVE</w:t>
            </w:r>
          </w:p>
        </w:tc>
        <w:tc>
          <w:tcPr>
            <w:tcW w:w="1362" w:type="dxa"/>
            <w:noWrap/>
            <w:vAlign w:val="center"/>
            <w:hideMark/>
          </w:tcPr>
          <w:p w14:paraId="1B89954F" w14:textId="77777777" w:rsidR="008357FE" w:rsidRPr="008357FE" w:rsidRDefault="008357FE" w:rsidP="008357FE">
            <w:pPr>
              <w:pStyle w:val="Prvnodstave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0,002915</w:t>
            </w:r>
          </w:p>
        </w:tc>
        <w:tc>
          <w:tcPr>
            <w:tcW w:w="1362" w:type="dxa"/>
            <w:noWrap/>
            <w:vAlign w:val="center"/>
            <w:hideMark/>
          </w:tcPr>
          <w:p w14:paraId="0831C94D" w14:textId="77777777" w:rsidR="008357FE" w:rsidRPr="008357FE" w:rsidRDefault="008357FE" w:rsidP="008357FE">
            <w:pPr>
              <w:pStyle w:val="Prvnodstave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0,053991</w:t>
            </w:r>
          </w:p>
        </w:tc>
        <w:tc>
          <w:tcPr>
            <w:tcW w:w="1362" w:type="dxa"/>
            <w:noWrap/>
            <w:vAlign w:val="center"/>
            <w:hideMark/>
          </w:tcPr>
          <w:p w14:paraId="79043B07" w14:textId="77777777" w:rsidR="008357FE" w:rsidRPr="008357FE" w:rsidRDefault="008357FE" w:rsidP="008357FE">
            <w:pPr>
              <w:pStyle w:val="Prvnodstave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0,039136</w:t>
            </w:r>
          </w:p>
        </w:tc>
        <w:tc>
          <w:tcPr>
            <w:tcW w:w="1362" w:type="dxa"/>
            <w:noWrap/>
            <w:vAlign w:val="center"/>
            <w:hideMark/>
          </w:tcPr>
          <w:p w14:paraId="32597441" w14:textId="77777777" w:rsidR="008357FE" w:rsidRPr="008357FE" w:rsidRDefault="008357FE" w:rsidP="00EF59F7">
            <w:pPr>
              <w:pStyle w:val="Prvnodstavec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357FE">
              <w:rPr>
                <w:b/>
                <w:bCs/>
              </w:rPr>
              <w:t>1</w:t>
            </w:r>
          </w:p>
        </w:tc>
      </w:tr>
    </w:tbl>
    <w:p w14:paraId="0E7BC264" w14:textId="6775A0FF" w:rsidR="008357FE" w:rsidRPr="00D33D04" w:rsidRDefault="00EF59F7" w:rsidP="00EF59F7">
      <w:pPr>
        <w:pStyle w:val="Titulek"/>
        <w:jc w:val="center"/>
        <w:rPr>
          <w:b w:val="0"/>
          <w:bCs w:val="0"/>
        </w:rPr>
      </w:pPr>
      <w:r>
        <w:t>Zdroj: vlastní zpracování</w:t>
      </w:r>
    </w:p>
    <w:p w14:paraId="1FDDD4B4" w14:textId="77777777" w:rsidR="00EF59F7" w:rsidRDefault="00EF59F7" w:rsidP="00EF59F7"/>
    <w:p w14:paraId="0E6DE892" w14:textId="62BD45EB" w:rsidR="00703A6C" w:rsidRDefault="00703A6C" w:rsidP="00250A38">
      <w:pPr>
        <w:pStyle w:val="Dalodstavec"/>
      </w:pPr>
      <w:r>
        <w:t xml:space="preserve">Všechny modely úspěšně porážejí naivní model, jak je vidět dle hodnot MASE, které jsou v každém případě &lt; 1. Tento fakt je vidět také na jednotlivých ostatních metrikách predikcí. </w:t>
      </w:r>
      <w:r w:rsidR="007A1E7E">
        <w:t xml:space="preserve">Práce tedy shledává úspěch ve významnosti a využitelnosti všech </w:t>
      </w:r>
      <w:r w:rsidR="0029038F">
        <w:t>odhadnutých</w:t>
      </w:r>
      <w:r w:rsidR="007A1E7E">
        <w:t xml:space="preserve"> modelů.</w:t>
      </w:r>
      <w:r w:rsidR="002F41B2">
        <w:t xml:space="preserve"> Směrodatná odchylka log return </w:t>
      </w:r>
      <w:r w:rsidR="00990A69">
        <w:t>akcie</w:t>
      </w:r>
      <w:r w:rsidR="007D7FCD">
        <w:t xml:space="preserve"> </w:t>
      </w:r>
      <w:r w:rsidR="002F41B2">
        <w:t xml:space="preserve">TSLA </w:t>
      </w:r>
      <w:r w:rsidR="002A41CE">
        <w:t>(</w:t>
      </w:r>
      <w:r w:rsidR="007D7FCD">
        <w:t xml:space="preserve">tj. </w:t>
      </w:r>
      <w:r w:rsidR="002A41CE">
        <w:t xml:space="preserve">skutečných hodnot) </w:t>
      </w:r>
      <w:r w:rsidR="002F41B2">
        <w:t xml:space="preserve">má hodnotu </w:t>
      </w:r>
      <w:r w:rsidR="002F41B2" w:rsidRPr="002F41B2">
        <w:t>0.03601</w:t>
      </w:r>
      <w:r w:rsidR="002A41CE">
        <w:t xml:space="preserve">. </w:t>
      </w:r>
      <w:r w:rsidR="003D787F">
        <w:t xml:space="preserve">V případě RMSE tedy je tedy chyba modelu </w:t>
      </w:r>
      <w:r w:rsidR="00346B8E">
        <w:t>přibližně</w:t>
      </w:r>
      <w:r w:rsidR="003D787F">
        <w:t xml:space="preserve"> stejně </w:t>
      </w:r>
      <w:r w:rsidR="007A7555">
        <w:t>velká</w:t>
      </w:r>
      <w:r w:rsidR="007A7555" w:rsidRPr="00E87305">
        <w:t>,</w:t>
      </w:r>
      <w:r w:rsidR="00E87305" w:rsidRPr="00E87305">
        <w:t xml:space="preserve"> což naznačuje, že predikční chyba modelu je srovnatelná s</w:t>
      </w:r>
      <w:r w:rsidR="00464E2F">
        <w:t> </w:t>
      </w:r>
      <w:r w:rsidR="00E87305" w:rsidRPr="00E87305">
        <w:t>přirozen</w:t>
      </w:r>
      <w:r w:rsidR="00464E2F">
        <w:t xml:space="preserve">ým kolísáním </w:t>
      </w:r>
      <w:r w:rsidR="00E87305" w:rsidRPr="00E87305">
        <w:t>řady</w:t>
      </w:r>
      <w:r w:rsidR="003D787F">
        <w:t xml:space="preserve">. U MAE je tento poměr </w:t>
      </w:r>
      <w:r w:rsidR="007A7555">
        <w:t>nižší</w:t>
      </w:r>
      <w:r w:rsidR="003D787F">
        <w:t xml:space="preserve">, </w:t>
      </w:r>
      <w:r w:rsidR="007A7555">
        <w:t xml:space="preserve">což </w:t>
      </w:r>
      <w:r w:rsidR="003D787F">
        <w:t xml:space="preserve">může </w:t>
      </w:r>
      <w:r w:rsidR="00724FBB">
        <w:t>svědčit o</w:t>
      </w:r>
      <w:r w:rsidR="003D787F">
        <w:t xml:space="preserve"> poměrně kvalitní predik</w:t>
      </w:r>
      <w:r w:rsidR="00724FBB">
        <w:t xml:space="preserve">ční schopnosti modelů </w:t>
      </w:r>
      <w:r w:rsidR="003D787F">
        <w:t>vzhledem k volatilitě řady.</w:t>
      </w:r>
      <w:r w:rsidR="00250A38">
        <w:t xml:space="preserve"> Predikce všech modelů graficky zobrazuje Obr. 4.</w:t>
      </w:r>
    </w:p>
    <w:p w14:paraId="65C71650" w14:textId="51A3A7EC" w:rsidR="00EF59F7" w:rsidRDefault="00DA532F" w:rsidP="00703A6C">
      <w:pPr>
        <w:pStyle w:val="Dalodstavec"/>
      </w:pPr>
      <w:r>
        <w:t xml:space="preserve">Výsledky implikují následující závěry. </w:t>
      </w:r>
      <w:r w:rsidR="00FF4268">
        <w:t xml:space="preserve">Zahrnutí proměnných sentimentu z průzkumů, indikovaných sentimentů týkajících se firmy Tesla zveřejněné Elonem Muskem, Google trends data a index VIX </w:t>
      </w:r>
      <w:r w:rsidR="00234FEA">
        <w:t>nepřináší</w:t>
      </w:r>
      <w:r w:rsidR="00FF4268">
        <w:t xml:space="preserve"> lepší predikční výkonost na zvoleném přístupu modelování při zvoleném časovém vzorku</w:t>
      </w:r>
      <w:r w:rsidR="00A65119">
        <w:t xml:space="preserve"> (ARIMA vs ARIMAX, VAR vs VARX)</w:t>
      </w:r>
      <w:r w:rsidR="00FF4268">
        <w:t>.</w:t>
      </w:r>
      <w:r w:rsidR="00234FEA">
        <w:t xml:space="preserve"> Tyhle predikce dosahují dokonce o něco horší výsledky. Jsou to, ale poměrně velmi malé rozdíly, které nemusí </w:t>
      </w:r>
      <w:r w:rsidR="002669DD">
        <w:t>implikovat špatnou</w:t>
      </w:r>
      <w:r w:rsidR="00234FEA">
        <w:t xml:space="preserve"> metodologii nebo zvolen</w:t>
      </w:r>
      <w:r w:rsidR="002669DD">
        <w:t xml:space="preserve">á </w:t>
      </w:r>
      <w:r w:rsidR="00234FEA">
        <w:t>dat</w:t>
      </w:r>
      <w:r w:rsidR="002669DD">
        <w:t>a</w:t>
      </w:r>
      <w:r w:rsidR="00234FEA">
        <w:t>.</w:t>
      </w:r>
      <w:r w:rsidR="002669DD">
        <w:t xml:space="preserve"> Každopádně zahrnutí těchto exogenních proměnných </w:t>
      </w:r>
      <w:r w:rsidR="00921786">
        <w:t>nepřináší</w:t>
      </w:r>
      <w:r w:rsidR="002669DD">
        <w:t xml:space="preserve"> žádné </w:t>
      </w:r>
      <w:r w:rsidR="00C30E6B">
        <w:t>zlepšení,</w:t>
      </w:r>
      <w:r w:rsidR="002669DD">
        <w:t xml:space="preserve"> a tak je jednodušší modelování v případě této práce vhodnější. </w:t>
      </w:r>
    </w:p>
    <w:p w14:paraId="64EC6CCB" w14:textId="51C8B393" w:rsidR="0009777A" w:rsidRDefault="00C30E6B" w:rsidP="0079227F">
      <w:pPr>
        <w:pStyle w:val="Dalodstavec"/>
      </w:pPr>
      <w:r>
        <w:lastRenderedPageBreak/>
        <w:t>Podobný případ práce nachází v případě porovnávání jedno a více rozměrného způsobu predikování log return akcie TSLA. Odhad modelu zahrnující navíc objem obchodů na burze, proměnnou basic volatility a PCA komponenty odhadnuté na různých technických indikátorech také přináší horší výsledky než zahrnutí pouze log return mezi vysvětlované proměnné (ARIMA vs VAR, ARIMAX vs VARX).</w:t>
      </w:r>
      <w:r w:rsidR="002738C8">
        <w:t xml:space="preserve"> Práce tedy nachází jako nejspolehlivější metodu (dle všech uvedených metrik) nejjednodušší ARIMA model, se vstupem log returnu akcie TSLA.</w:t>
      </w:r>
    </w:p>
    <w:p w14:paraId="0EF8BCB7" w14:textId="77777777" w:rsidR="0079227F" w:rsidRDefault="0079227F" w:rsidP="0079227F">
      <w:pPr>
        <w:pStyle w:val="Dalodstavec"/>
      </w:pPr>
    </w:p>
    <w:p w14:paraId="324FCB61" w14:textId="4CC8A9D8" w:rsidR="00FF555C" w:rsidRDefault="00796CEC" w:rsidP="00FF555C">
      <w:pPr>
        <w:pStyle w:val="Dalodstavec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8A1E1" wp14:editId="7F7AD6C6">
                <wp:simplePos x="0" y="0"/>
                <wp:positionH relativeFrom="column">
                  <wp:posOffset>-405765</wp:posOffset>
                </wp:positionH>
                <wp:positionV relativeFrom="paragraph">
                  <wp:posOffset>4497070</wp:posOffset>
                </wp:positionV>
                <wp:extent cx="6563360" cy="635"/>
                <wp:effectExtent l="0" t="0" r="0" b="0"/>
                <wp:wrapTopAndBottom/>
                <wp:docPr id="25583583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45ACFC" w14:textId="1DC15684" w:rsidR="00796CEC" w:rsidRPr="005E750D" w:rsidRDefault="00796CEC" w:rsidP="007F23C1">
                            <w:pPr>
                              <w:pStyle w:val="Titulek"/>
                              <w:jc w:val="center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>Zdroj: vlastní zpracování v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8A1E1" id="_x0000_s1028" type="#_x0000_t202" style="position:absolute;left:0;text-align:left;margin-left:-31.95pt;margin-top:354.1pt;width:516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" stroked="f">
                <v:textbox style="mso-fit-shape-to-text:t" inset="0,0,0,0">
                  <w:txbxContent>
                    <w:p w14:paraId="1145ACFC" w14:textId="1DC15684" w:rsidR="00796CEC" w:rsidRPr="005E750D" w:rsidRDefault="00796CEC" w:rsidP="007F23C1">
                      <w:pPr>
                        <w:pStyle w:val="Titulek"/>
                        <w:jc w:val="center"/>
                        <w:rPr>
                          <w:rFonts w:cs="Times New Roman"/>
                          <w:noProof/>
                        </w:rPr>
                      </w:pPr>
                      <w:r>
                        <w:t>Zdroj: vlastní zpracování v 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4465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A2B6102" wp14:editId="60966BE4">
            <wp:simplePos x="0" y="0"/>
            <wp:positionH relativeFrom="margin">
              <wp:align>center</wp:align>
            </wp:positionH>
            <wp:positionV relativeFrom="paragraph">
              <wp:posOffset>221136</wp:posOffset>
            </wp:positionV>
            <wp:extent cx="6563360" cy="4218940"/>
            <wp:effectExtent l="0" t="0" r="8890" b="0"/>
            <wp:wrapTopAndBottom/>
            <wp:docPr id="335279990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79990" name="Obrázek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421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55C">
        <w:rPr>
          <w:b/>
          <w:bCs/>
        </w:rPr>
        <w:t>Obr. 4: Predikce všech modelů</w:t>
      </w:r>
    </w:p>
    <w:p w14:paraId="27308A0C" w14:textId="69875874" w:rsidR="00354465" w:rsidRPr="00FF555C" w:rsidRDefault="00354465" w:rsidP="00FF555C">
      <w:pPr>
        <w:pStyle w:val="Dalodstavec"/>
        <w:jc w:val="center"/>
        <w:rPr>
          <w:b/>
          <w:bCs/>
        </w:rPr>
      </w:pPr>
    </w:p>
    <w:p w14:paraId="0F85B9AE" w14:textId="3C2B9F16" w:rsidR="00E93230" w:rsidRPr="00E93230" w:rsidRDefault="00C7198D" w:rsidP="00F40673">
      <w:pPr>
        <w:pStyle w:val="Prvnodstavec"/>
      </w:pPr>
      <w:r w:rsidRPr="00C7198D">
        <w:t xml:space="preserve">Vizuálně </w:t>
      </w:r>
      <w:r>
        <w:t>vykazují</w:t>
      </w:r>
      <w:r w:rsidRPr="00C7198D">
        <w:t xml:space="preserve"> predikce obou </w:t>
      </w:r>
      <w:r w:rsidR="006200D8">
        <w:t>VAR</w:t>
      </w:r>
      <w:r w:rsidRPr="00C7198D">
        <w:t xml:space="preserve"> modelu lepší vzor</w:t>
      </w:r>
      <w:r w:rsidR="00D4634B">
        <w:t>,</w:t>
      </w:r>
      <w:r w:rsidRPr="00C7198D">
        <w:t xml:space="preserve"> ale je také možné</w:t>
      </w:r>
      <w:r w:rsidR="00D4634B">
        <w:t>, ž</w:t>
      </w:r>
      <w:r w:rsidRPr="00C7198D">
        <w:t xml:space="preserve">e je model přeučeny na </w:t>
      </w:r>
      <w:r w:rsidR="000B3F65">
        <w:t>trenovacích</w:t>
      </w:r>
      <w:r w:rsidRPr="00C7198D">
        <w:t xml:space="preserve"> datech tzv overfitting</w:t>
      </w:r>
      <w:r w:rsidR="006200D8">
        <w:t xml:space="preserve">, </w:t>
      </w:r>
      <w:r w:rsidRPr="00C7198D">
        <w:t xml:space="preserve">jelikož predikce od </w:t>
      </w:r>
      <w:r w:rsidR="006200D8">
        <w:t>ARIMA</w:t>
      </w:r>
      <w:r w:rsidR="00D4634B">
        <w:t xml:space="preserve">, </w:t>
      </w:r>
      <w:r w:rsidRPr="00C7198D">
        <w:t xml:space="preserve">které více oscilují okolo 0 vykazují lepší </w:t>
      </w:r>
      <w:r w:rsidR="008A7FE2" w:rsidRPr="00C7198D">
        <w:t>predikční</w:t>
      </w:r>
      <w:r w:rsidRPr="00C7198D">
        <w:t xml:space="preserve"> metriky. Tuto hypotézu dále potvrzuje fakt</w:t>
      </w:r>
      <w:r w:rsidR="008A7FE2">
        <w:t>,</w:t>
      </w:r>
      <w:r w:rsidRPr="00C7198D">
        <w:t xml:space="preserve"> </w:t>
      </w:r>
      <w:r w:rsidR="008A7FE2" w:rsidRPr="00C7198D">
        <w:t>že</w:t>
      </w:r>
      <w:r w:rsidRPr="00C7198D">
        <w:t xml:space="preserve"> při </w:t>
      </w:r>
      <w:r w:rsidR="005A17C4">
        <w:t>VAR</w:t>
      </w:r>
      <w:r w:rsidR="005A17C4" w:rsidRPr="00C7198D">
        <w:t xml:space="preserve"> (</w:t>
      </w:r>
      <w:r w:rsidRPr="00C7198D">
        <w:t xml:space="preserve">16) či </w:t>
      </w:r>
      <w:r w:rsidR="00D445E0">
        <w:t>VAR</w:t>
      </w:r>
      <w:r w:rsidR="005A17C4">
        <w:t xml:space="preserve"> </w:t>
      </w:r>
      <w:r w:rsidRPr="00C7198D">
        <w:t xml:space="preserve">(4) byly výsledky </w:t>
      </w:r>
      <w:r w:rsidR="005A17C4" w:rsidRPr="00C7198D">
        <w:t>horší,</w:t>
      </w:r>
      <w:r w:rsidRPr="00C7198D">
        <w:t xml:space="preserve"> a tak model muže byt spíše </w:t>
      </w:r>
      <w:r w:rsidR="00A93B2C">
        <w:t>přeparametrizován</w:t>
      </w:r>
      <w:r w:rsidRPr="00C7198D">
        <w:t xml:space="preserve">. </w:t>
      </w:r>
      <w:r w:rsidR="00CB2771">
        <w:t>VAR</w:t>
      </w:r>
      <w:r w:rsidR="009B00F8">
        <w:t xml:space="preserve"> </w:t>
      </w:r>
      <w:r w:rsidRPr="00C7198D">
        <w:t xml:space="preserve">(1) byl ale stejný či lehce horší než </w:t>
      </w:r>
      <w:r w:rsidR="005A17C4">
        <w:t xml:space="preserve">VAR </w:t>
      </w:r>
      <w:r w:rsidRPr="00C7198D">
        <w:t xml:space="preserve">(2). A tak je </w:t>
      </w:r>
      <w:r w:rsidR="007B3FB6">
        <w:t>zpoždění</w:t>
      </w:r>
      <w:r w:rsidR="00315D40">
        <w:t xml:space="preserve"> </w:t>
      </w:r>
      <w:r w:rsidRPr="00C7198D">
        <w:t xml:space="preserve">2 nejspíše nejlepší přístup </w:t>
      </w:r>
      <w:r w:rsidR="007B3FB6">
        <w:t>kde se však</w:t>
      </w:r>
      <w:r w:rsidRPr="00C7198D">
        <w:t xml:space="preserve"> stále může jednat o n</w:t>
      </w:r>
      <w:r w:rsidR="00D80B02">
        <w:t>ě</w:t>
      </w:r>
      <w:r w:rsidRPr="00C7198D">
        <w:t>jak</w:t>
      </w:r>
      <w:r w:rsidR="00D80B02">
        <w:t>ý</w:t>
      </w:r>
      <w:r w:rsidRPr="00C7198D">
        <w:t xml:space="preserve"> probl</w:t>
      </w:r>
      <w:r w:rsidR="00D80B02">
        <w:t>é</w:t>
      </w:r>
      <w:r w:rsidRPr="00C7198D">
        <w:t>m</w:t>
      </w:r>
      <w:r w:rsidR="00911567">
        <w:t>,</w:t>
      </w:r>
      <w:r w:rsidRPr="00C7198D">
        <w:t xml:space="preserve"> </w:t>
      </w:r>
      <w:r w:rsidR="00911567">
        <w:t xml:space="preserve">např. </w:t>
      </w:r>
      <w:r w:rsidRPr="00C7198D">
        <w:t>s počtem parametru modelu.</w:t>
      </w:r>
      <w:r w:rsidR="00DD63B0">
        <w:t xml:space="preserve"> Práce tedy naráží na </w:t>
      </w:r>
      <w:r w:rsidR="00911567">
        <w:t>možný limit overfittingu, který by si zasluhoval hlubší průzkum.</w:t>
      </w:r>
      <w:r w:rsidR="00F40673">
        <w:t xml:space="preserve"> </w:t>
      </w:r>
      <w:r w:rsidR="00E93230">
        <w:t>ARIMA</w:t>
      </w:r>
      <w:r w:rsidR="00E93230" w:rsidRPr="00E93230">
        <w:t xml:space="preserve"> predikce vykazuji zhruba bílý šum kde střední hodnota predikc</w:t>
      </w:r>
      <w:r w:rsidR="001D7355">
        <w:t>í</w:t>
      </w:r>
      <w:r w:rsidR="00E93230" w:rsidRPr="00E93230">
        <w:t xml:space="preserve"> je blízko 0 a vyskytuji se zde náhodně výkyvy. Toto se shoduje s </w:t>
      </w:r>
      <w:r w:rsidR="00F40673" w:rsidRPr="00E93230">
        <w:t>hypotézou,</w:t>
      </w:r>
      <w:r w:rsidR="00E93230" w:rsidRPr="00E93230">
        <w:t xml:space="preserve"> </w:t>
      </w:r>
      <w:r w:rsidR="00F00168">
        <w:t>ž</w:t>
      </w:r>
      <w:r w:rsidR="00E93230" w:rsidRPr="00E93230">
        <w:t xml:space="preserve">e </w:t>
      </w:r>
      <w:r w:rsidR="00F00168">
        <w:t xml:space="preserve">ceny </w:t>
      </w:r>
      <w:r w:rsidR="00E93230" w:rsidRPr="00E93230">
        <w:t>akci</w:t>
      </w:r>
      <w:r w:rsidR="00F00168">
        <w:t>í</w:t>
      </w:r>
      <w:r w:rsidR="00E93230" w:rsidRPr="00E93230">
        <w:t xml:space="preserve"> často následuj</w:t>
      </w:r>
      <w:r w:rsidR="005353BD">
        <w:t>í</w:t>
      </w:r>
      <w:r w:rsidR="00E93230" w:rsidRPr="00E93230">
        <w:t xml:space="preserve"> model náhodn</w:t>
      </w:r>
      <w:r w:rsidR="005D36E7">
        <w:t>é</w:t>
      </w:r>
      <w:r w:rsidR="00E93230" w:rsidRPr="00E93230">
        <w:t xml:space="preserve"> procházky.</w:t>
      </w:r>
      <w:r w:rsidR="00F40673">
        <w:t xml:space="preserve"> Práce také dokazuje základní ekonometrický odhad modelů a transformaci dat, analýza však zasluhuje další průzkum v praktické aplikaci a reálném </w:t>
      </w:r>
      <w:r w:rsidR="00F51C2F">
        <w:t xml:space="preserve">tzv. </w:t>
      </w:r>
      <w:r w:rsidR="00F40673">
        <w:t xml:space="preserve">backtestu s modelovým portfoliem, kde se zodpoví </w:t>
      </w:r>
      <w:r w:rsidR="008C6EC6">
        <w:t>otázka,</w:t>
      </w:r>
      <w:r w:rsidR="00F40673">
        <w:t xml:space="preserve"> zdali se dají</w:t>
      </w:r>
      <w:r w:rsidR="00F40673" w:rsidRPr="00F40673">
        <w:t xml:space="preserve"> </w:t>
      </w:r>
      <w:r w:rsidR="00F40673">
        <w:t xml:space="preserve">takto odhadnuté </w:t>
      </w:r>
      <w:r w:rsidR="00F40673" w:rsidRPr="00F40673">
        <w:t>model</w:t>
      </w:r>
      <w:r w:rsidR="00F40673">
        <w:t>y</w:t>
      </w:r>
      <w:r w:rsidR="00F40673" w:rsidRPr="00F40673">
        <w:t xml:space="preserve"> </w:t>
      </w:r>
      <w:r w:rsidR="00F40673">
        <w:t xml:space="preserve">s poměrně dobrými výsledky i </w:t>
      </w:r>
      <w:r w:rsidR="00F40673" w:rsidRPr="00F40673">
        <w:t>dobře využít i v reálném investičním prostředí</w:t>
      </w:r>
      <w:r w:rsidR="00BD1ED8">
        <w:t>.</w:t>
      </w:r>
    </w:p>
    <w:p w14:paraId="2A2F21F9" w14:textId="77777777" w:rsidR="00E93230" w:rsidRDefault="00E93230" w:rsidP="00E93230">
      <w:pPr>
        <w:pStyle w:val="Dalodstavec"/>
      </w:pPr>
    </w:p>
    <w:p w14:paraId="42710752" w14:textId="1E222B24" w:rsidR="00E83735" w:rsidRDefault="00934892" w:rsidP="00764497">
      <w:pPr>
        <w:pStyle w:val="Kapitola"/>
      </w:pPr>
      <w:r>
        <w:lastRenderedPageBreak/>
        <w:t>6</w:t>
      </w:r>
      <w:r w:rsidR="00E83735" w:rsidRPr="002C0167">
        <w:tab/>
        <w:t>Závěr</w:t>
      </w:r>
    </w:p>
    <w:p w14:paraId="390B4F22" w14:textId="17643E47" w:rsidR="00F171B8" w:rsidRDefault="00F171B8" w:rsidP="00F171B8">
      <w:pPr>
        <w:pStyle w:val="Prvnodstavec"/>
      </w:pPr>
      <w:r>
        <w:t xml:space="preserve">Práce nejdřív popsala teorii, kterou práce používá k naplnění cíle práce, spočívajícím v porovnání různých tradičních modelů časových řad s různými zahrnutými unikátními daty. Představila prvotní specifikace porovnávaných modelů a přístupu k nim. Dále práce popsala jak už základní data, tak unikátnější data sentimentu z průzkumů, či získaných machine learning sentiment analýzou tweetu Elona Muska. </w:t>
      </w:r>
      <w:r w:rsidR="00F51003">
        <w:t xml:space="preserve">Tato kapitola popsala také všechny využité transformace a úpravy dat pro účel odhadů modelu. </w:t>
      </w:r>
      <w:r w:rsidR="00BD674B">
        <w:t xml:space="preserve">Práce dále specifikovala, že odhady budou sestrojeny způsobem rolling window, a jak každý běh probíhá. Nakonec práce vyhodnotila výsledky analýzy. Cíl práce je tedy </w:t>
      </w:r>
      <w:r w:rsidR="007640EB">
        <w:t>hodnocen</w:t>
      </w:r>
      <w:r w:rsidR="00BD674B">
        <w:t xml:space="preserve"> jako naplněný s následujícími závěry.</w:t>
      </w:r>
    </w:p>
    <w:p w14:paraId="4CB326F4" w14:textId="5029385F" w:rsidR="00BD674B" w:rsidRDefault="00BD674B" w:rsidP="00BD674B">
      <w:pPr>
        <w:pStyle w:val="Dalodstavec"/>
      </w:pPr>
      <w:r>
        <w:t xml:space="preserve">Práce nachází </w:t>
      </w:r>
      <w:r w:rsidR="00C05F82">
        <w:t xml:space="preserve">poměrně spolehlivé predikce všech modelů, které významně porážejí naivní model. Chyby predikce se pohybují zhruba na úrovní přirozené kolísavosti log returnu akcie TSLA. </w:t>
      </w:r>
      <w:r w:rsidR="008729C2">
        <w:t>V případě porovnání zahrnutí exogenních proměnných do ARIMA a VAR modelu práce nachází skoro stejnou či méně dobrou výkonnosti predikcí těchto modelů. A tak unikátní data sentimentu na trhu, vyhledávanosti firmy Tesla na googlu, signál vyplývající z výroků Elona Muska na sociální síti X a VIX indexu nepřináší žádný zlepšení odhadnutých predikcí. Podobný výsledek je nalezen i při porovnání přístupu ARIMA vs VAR. Zahrnutí více endogenních proměnných jako objem obchodů na burze, základní volatilitou meřenou jako rozdíl high a low ceny TSLA, PCA komponenty získané z různých technických finančních indikátorů také nepřináší spolehlivější výsledky chyb predikce.</w:t>
      </w:r>
      <w:r w:rsidR="008A0AB3">
        <w:t xml:space="preserve"> Nejlepší výsledky analýza vykazuje pro jednoduchý ARIMA (1, 0, 1) model. </w:t>
      </w:r>
      <w:r w:rsidR="004524C6">
        <w:t xml:space="preserve">Teoretický základ avizovaný na začátku práce, kde by měl sentiment investorů, „hype“ akcie či volatilita na celém trhu výrazně ovlivňovat chování </w:t>
      </w:r>
      <w:r w:rsidR="00274DA4">
        <w:t>investorů,</w:t>
      </w:r>
      <w:r w:rsidR="004524C6">
        <w:t xml:space="preserve"> a tak </w:t>
      </w:r>
      <w:r w:rsidR="00617670">
        <w:t>zahrnutí takových veličin do predikcí</w:t>
      </w:r>
      <w:r w:rsidR="004524C6">
        <w:t xml:space="preserve"> změn ceny akcie TSLA </w:t>
      </w:r>
      <w:r w:rsidR="00727F04">
        <w:t xml:space="preserve">by mělo zlepšit predikční výkonnost </w:t>
      </w:r>
      <w:r w:rsidR="004524C6">
        <w:t xml:space="preserve">se tedy nepotvrzuje. </w:t>
      </w:r>
      <w:r w:rsidR="00274DA4">
        <w:t>Práce také vyzývá k dalšímu průzkumu zvolených modelů na reálném testování profitability trading strategie postavené na jejich predikcích.</w:t>
      </w:r>
    </w:p>
    <w:p w14:paraId="3AAED14B" w14:textId="77777777" w:rsidR="00D17629" w:rsidRDefault="00D17629" w:rsidP="00BD674B">
      <w:pPr>
        <w:pStyle w:val="Dalodstavec"/>
      </w:pPr>
    </w:p>
    <w:p w14:paraId="15685898" w14:textId="77777777" w:rsidR="00D17629" w:rsidRDefault="00D17629" w:rsidP="00BD674B">
      <w:pPr>
        <w:pStyle w:val="Dalodstavec"/>
      </w:pPr>
    </w:p>
    <w:p w14:paraId="3CE632FF" w14:textId="77777777" w:rsidR="00D17629" w:rsidRDefault="00D17629" w:rsidP="00BD674B">
      <w:pPr>
        <w:pStyle w:val="Dalodstavec"/>
      </w:pPr>
    </w:p>
    <w:p w14:paraId="24373A89" w14:textId="77777777" w:rsidR="00D17629" w:rsidRDefault="00D17629" w:rsidP="00BD674B">
      <w:pPr>
        <w:pStyle w:val="Dalodstavec"/>
      </w:pPr>
    </w:p>
    <w:p w14:paraId="62E4FB5B" w14:textId="77777777" w:rsidR="00D17629" w:rsidRDefault="00D17629" w:rsidP="00BD674B">
      <w:pPr>
        <w:pStyle w:val="Dalodstavec"/>
      </w:pPr>
    </w:p>
    <w:p w14:paraId="5BB2D830" w14:textId="77777777" w:rsidR="00D17629" w:rsidRDefault="00D17629" w:rsidP="00BD674B">
      <w:pPr>
        <w:pStyle w:val="Dalodstavec"/>
      </w:pPr>
    </w:p>
    <w:p w14:paraId="1FBC203D" w14:textId="77777777" w:rsidR="00D17629" w:rsidRDefault="00D17629" w:rsidP="00BD674B">
      <w:pPr>
        <w:pStyle w:val="Dalodstavec"/>
      </w:pPr>
    </w:p>
    <w:p w14:paraId="5FC36955" w14:textId="77777777" w:rsidR="00D17629" w:rsidRDefault="00D17629" w:rsidP="00BD674B">
      <w:pPr>
        <w:pStyle w:val="Dalodstavec"/>
      </w:pPr>
    </w:p>
    <w:p w14:paraId="0D0903BE" w14:textId="77777777" w:rsidR="00D17629" w:rsidRDefault="00D17629" w:rsidP="00BD674B">
      <w:pPr>
        <w:pStyle w:val="Dalodstavec"/>
      </w:pPr>
    </w:p>
    <w:p w14:paraId="353ADEEF" w14:textId="77777777" w:rsidR="00D17629" w:rsidRDefault="00D17629" w:rsidP="00BD674B">
      <w:pPr>
        <w:pStyle w:val="Dalodstavec"/>
      </w:pPr>
    </w:p>
    <w:p w14:paraId="14ECC0F0" w14:textId="77777777" w:rsidR="00D17629" w:rsidRDefault="00D17629" w:rsidP="00BD674B">
      <w:pPr>
        <w:pStyle w:val="Dalodstavec"/>
      </w:pPr>
    </w:p>
    <w:p w14:paraId="0CA60266" w14:textId="77777777" w:rsidR="00761465" w:rsidRDefault="00761465" w:rsidP="00BD674B">
      <w:pPr>
        <w:pStyle w:val="Dalodstavec"/>
      </w:pPr>
    </w:p>
    <w:p w14:paraId="1AE0CA6A" w14:textId="77777777" w:rsidR="00761465" w:rsidRPr="002C0167" w:rsidRDefault="00761465" w:rsidP="00BD674B">
      <w:pPr>
        <w:pStyle w:val="Dalodstavec"/>
      </w:pPr>
    </w:p>
    <w:p w14:paraId="5126A4C6" w14:textId="77777777" w:rsidR="00E83735" w:rsidRPr="002C0167" w:rsidRDefault="00E83735" w:rsidP="00764497">
      <w:pPr>
        <w:pStyle w:val="Kapitola"/>
      </w:pPr>
      <w:r w:rsidRPr="002C0167">
        <w:lastRenderedPageBreak/>
        <w:t>Reference</w:t>
      </w:r>
    </w:p>
    <w:p w14:paraId="6250C157" w14:textId="5BBDBCFC" w:rsidR="005B1598" w:rsidRDefault="005B1598" w:rsidP="00922C15">
      <w:pPr>
        <w:pStyle w:val="Reference"/>
      </w:pPr>
      <w:r w:rsidRPr="005B1598">
        <w:t>AAII</w:t>
      </w:r>
      <w:r w:rsidR="005655E4">
        <w:t xml:space="preserve">, 2025. </w:t>
      </w:r>
      <w:r w:rsidR="005655E4" w:rsidRPr="005655E4">
        <w:t>The AAII Investor Sentiment Survey</w:t>
      </w:r>
      <w:r w:rsidRPr="005B1598">
        <w:t xml:space="preserve"> [online]. Dostupné z: </w:t>
      </w:r>
      <w:hyperlink r:id="rId12" w:history="1">
        <w:r w:rsidR="005655E4" w:rsidRPr="00A0741B">
          <w:rPr>
            <w:rStyle w:val="Hypertextovodkaz"/>
          </w:rPr>
          <w:t>https://www.aaii.com/sentimentsurvey</w:t>
        </w:r>
      </w:hyperlink>
      <w:r w:rsidR="005655E4">
        <w:t xml:space="preserve"> </w:t>
      </w:r>
    </w:p>
    <w:p w14:paraId="481854B5" w14:textId="1FAA461E" w:rsidR="000E639B" w:rsidRDefault="000E639B" w:rsidP="00922C15">
      <w:pPr>
        <w:pStyle w:val="Reference"/>
      </w:pPr>
      <w:r w:rsidRPr="000E639B">
        <w:t>DADA</w:t>
      </w:r>
      <w:r>
        <w:t xml:space="preserve"> </w:t>
      </w:r>
      <w:r w:rsidRPr="000E639B">
        <w:t>LYND</w:t>
      </w:r>
      <w:r>
        <w:t>ELL, 2025</w:t>
      </w:r>
      <w:r w:rsidRPr="000E639B">
        <w:t xml:space="preserve">. Elon Musk Tweets 2010 to 2025 </w:t>
      </w:r>
      <w:r>
        <w:t>(</w:t>
      </w:r>
      <w:r w:rsidRPr="000E639B">
        <w:t>March</w:t>
      </w:r>
      <w:r>
        <w:t>)</w:t>
      </w:r>
      <w:r w:rsidRPr="000E639B">
        <w:t xml:space="preserve"> [online]. Kaggle, Dostupné z: </w:t>
      </w:r>
      <w:hyperlink r:id="rId13" w:history="1">
        <w:r w:rsidRPr="00A0741B">
          <w:rPr>
            <w:rStyle w:val="Hypertextovodkaz"/>
          </w:rPr>
          <w:t>https://www.kaggle.com/datasets/dadalyndell/elon-musk-tweets-2010-to-2025-march</w:t>
        </w:r>
      </w:hyperlink>
      <w:r>
        <w:t xml:space="preserve"> </w:t>
      </w:r>
    </w:p>
    <w:p w14:paraId="26E99DA2" w14:textId="0C4C6A64" w:rsidR="000E639B" w:rsidRDefault="00132DE7" w:rsidP="004E6F6D">
      <w:pPr>
        <w:pStyle w:val="Reference"/>
      </w:pPr>
      <w:r>
        <w:t>GOOGLE TRENDS</w:t>
      </w:r>
      <w:r w:rsidR="002B1813">
        <w:t>, 2025</w:t>
      </w:r>
      <w:r w:rsidR="002B1813" w:rsidRPr="002B1813">
        <w:t xml:space="preserve">. Tesla [online]. Dostupné z: </w:t>
      </w:r>
      <w:hyperlink r:id="rId14" w:history="1">
        <w:r w:rsidR="0052577D" w:rsidRPr="00A0741B">
          <w:rPr>
            <w:rStyle w:val="Hypertextovodkaz"/>
          </w:rPr>
          <w:t>https://trends.google.com/trends/explore?date=2010-01-06%202025-05-01&amp;geo=US&amp;q=Tesla&amp;hl=cs</w:t>
        </w:r>
      </w:hyperlink>
      <w:r w:rsidR="0052577D">
        <w:t xml:space="preserve"> </w:t>
      </w:r>
    </w:p>
    <w:p w14:paraId="5661C8F7" w14:textId="3B087FFC" w:rsidR="00E83735" w:rsidRDefault="00453363" w:rsidP="00983A9C">
      <w:pPr>
        <w:pStyle w:val="Kapitola"/>
      </w:pPr>
      <w:r>
        <w:t>Příloh</w:t>
      </w:r>
      <w:r w:rsidR="005A0CE8">
        <w:t>y</w:t>
      </w:r>
    </w:p>
    <w:p w14:paraId="12C20EBD" w14:textId="4866F773" w:rsidR="005A0CE8" w:rsidRPr="005A0CE8" w:rsidRDefault="005A0CE8" w:rsidP="005A0CE8">
      <w:pPr>
        <w:pStyle w:val="Prvnodstavec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Příloha A</w:t>
      </w:r>
    </w:p>
    <w:p w14:paraId="211BDDF7" w14:textId="0409386A" w:rsidR="00FD0F3E" w:rsidRDefault="00983A9C" w:rsidP="007E31FD">
      <w:pPr>
        <w:pStyle w:val="Prvnodstavec"/>
      </w:pPr>
      <w:r>
        <w:t>Všechna data, v </w:t>
      </w:r>
      <w:r w:rsidR="005A0CE8">
        <w:t>podobě,</w:t>
      </w:r>
      <w:r>
        <w:t xml:space="preserve"> ve které byla stažena i v transformované podobě, spolu se všemi skripty obsahující jejich úpravy a sentiment analýzu a také grafy jsou dostupné v archivu odevzdaném s tímto souborem.</w:t>
      </w:r>
    </w:p>
    <w:p w14:paraId="418803ED" w14:textId="1E36B9A9" w:rsidR="005A0CE8" w:rsidRDefault="005A0CE8" w:rsidP="005A0CE8">
      <w:pPr>
        <w:pStyle w:val="Prvnodstavec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07F2F72" wp14:editId="24C4408C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346190" cy="3625850"/>
            <wp:effectExtent l="0" t="0" r="0" b="0"/>
            <wp:wrapTopAndBottom/>
            <wp:docPr id="79349047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Příloha B</w:t>
      </w:r>
    </w:p>
    <w:p w14:paraId="5BF70B93" w14:textId="347D4862" w:rsidR="005A0CE8" w:rsidRPr="005A0CE8" w:rsidRDefault="001362EA" w:rsidP="00D54E2A">
      <w:pPr>
        <w:pStyle w:val="Prvnodstavec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6CFB492" wp14:editId="224F8A94">
            <wp:extent cx="6229350" cy="3558941"/>
            <wp:effectExtent l="0" t="0" r="0" b="3810"/>
            <wp:docPr id="487499672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540" cy="356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CE8" w:rsidRPr="005A0CE8" w:rsidSect="009E583B">
      <w:footerReference w:type="default" r:id="rId1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03860" w14:textId="77777777" w:rsidR="00AF4EB0" w:rsidRDefault="00AF4EB0" w:rsidP="00D00C32">
      <w:r>
        <w:separator/>
      </w:r>
    </w:p>
  </w:endnote>
  <w:endnote w:type="continuationSeparator" w:id="0">
    <w:p w14:paraId="102E85D5" w14:textId="77777777" w:rsidR="00AF4EB0" w:rsidRDefault="00AF4EB0" w:rsidP="00D0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9071430"/>
      <w:docPartObj>
        <w:docPartGallery w:val="Page Numbers (Bottom of Page)"/>
        <w:docPartUnique/>
      </w:docPartObj>
    </w:sdtPr>
    <w:sdtContent>
      <w:p w14:paraId="1DF8E37B" w14:textId="77777777" w:rsidR="00EE4C3A" w:rsidRDefault="00EE4C3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703BA479" w14:textId="77777777" w:rsidR="00EE4C3A" w:rsidRDefault="00EE4C3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CF44C" w14:textId="77777777" w:rsidR="00AF4EB0" w:rsidRDefault="00AF4EB0" w:rsidP="00D00C32">
      <w:r>
        <w:separator/>
      </w:r>
    </w:p>
  </w:footnote>
  <w:footnote w:type="continuationSeparator" w:id="0">
    <w:p w14:paraId="7344C94C" w14:textId="77777777" w:rsidR="00AF4EB0" w:rsidRDefault="00AF4EB0" w:rsidP="00D00C32">
      <w:r>
        <w:continuationSeparator/>
      </w:r>
    </w:p>
  </w:footnote>
  <w:footnote w:id="1">
    <w:p w14:paraId="31D06FE4" w14:textId="6A090E8F" w:rsidR="00C5537A" w:rsidRDefault="00C5537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NimbusRomNo9L-Regu" w:hAnsi="NimbusRomNo9L-Regu" w:cs="NimbusRomNo9L-Regu"/>
          <w:kern w:val="0"/>
          <w:szCs w:val="20"/>
          <w:lang w:eastAsia="zh-CN" w:bidi="ar-SA"/>
        </w:rPr>
        <w:t xml:space="preserve">Masarykova univerzita, Ekonomicko–správní fakulta, obor: Ekonomie, </w:t>
      </w:r>
      <w:r w:rsidR="000F337C">
        <w:rPr>
          <w:rFonts w:ascii="NimbusRomNo9L-Regu" w:hAnsi="NimbusRomNo9L-Regu" w:cs="NimbusRomNo9L-Regu"/>
          <w:kern w:val="0"/>
          <w:szCs w:val="20"/>
          <w:lang w:eastAsia="zh-CN" w:bidi="ar-SA"/>
        </w:rPr>
        <w:t>535432</w:t>
      </w:r>
      <w:r>
        <w:rPr>
          <w:rFonts w:ascii="NimbusRomNo9L-Regu" w:hAnsi="NimbusRomNo9L-Regu" w:cs="NimbusRomNo9L-Regu"/>
          <w:kern w:val="0"/>
          <w:szCs w:val="20"/>
          <w:lang w:eastAsia="zh-CN" w:bidi="ar-SA"/>
        </w:rPr>
        <w:t>@mail</w:t>
      </w:r>
      <w:r w:rsidR="008F6619">
        <w:rPr>
          <w:rFonts w:ascii="NimbusRomNo9L-Regu" w:hAnsi="NimbusRomNo9L-Regu" w:cs="NimbusRomNo9L-Regu"/>
          <w:kern w:val="0"/>
          <w:szCs w:val="20"/>
          <w:lang w:eastAsia="zh-CN" w:bidi="ar-SA"/>
        </w:rPr>
        <w:t>.muni</w:t>
      </w:r>
      <w:r>
        <w:rPr>
          <w:rFonts w:ascii="NimbusRomNo9L-Regu" w:hAnsi="NimbusRomNo9L-Regu" w:cs="NimbusRomNo9L-Regu"/>
          <w:kern w:val="0"/>
          <w:szCs w:val="20"/>
          <w:lang w:eastAsia="zh-CN" w:bidi="ar-SA"/>
        </w:rPr>
        <w:t>.cz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1B6F5C2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2B1C4A"/>
    <w:multiLevelType w:val="hybridMultilevel"/>
    <w:tmpl w:val="DA5C88FA"/>
    <w:lvl w:ilvl="0" w:tplc="0405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25B963B5"/>
    <w:multiLevelType w:val="hybridMultilevel"/>
    <w:tmpl w:val="EBB058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826CF"/>
    <w:multiLevelType w:val="hybridMultilevel"/>
    <w:tmpl w:val="12360EFC"/>
    <w:lvl w:ilvl="0" w:tplc="0405000F">
      <w:start w:val="1"/>
      <w:numFmt w:val="decimal"/>
      <w:lvlText w:val="%1."/>
      <w:lvlJc w:val="left"/>
      <w:pPr>
        <w:ind w:left="714" w:hanging="360"/>
      </w:pPr>
    </w:lvl>
    <w:lvl w:ilvl="1" w:tplc="04050019" w:tentative="1">
      <w:start w:val="1"/>
      <w:numFmt w:val="lowerLetter"/>
      <w:lvlText w:val="%2."/>
      <w:lvlJc w:val="left"/>
      <w:pPr>
        <w:ind w:left="1434" w:hanging="360"/>
      </w:pPr>
    </w:lvl>
    <w:lvl w:ilvl="2" w:tplc="0405001B" w:tentative="1">
      <w:start w:val="1"/>
      <w:numFmt w:val="lowerRoman"/>
      <w:lvlText w:val="%3."/>
      <w:lvlJc w:val="right"/>
      <w:pPr>
        <w:ind w:left="2154" w:hanging="180"/>
      </w:pPr>
    </w:lvl>
    <w:lvl w:ilvl="3" w:tplc="0405000F" w:tentative="1">
      <w:start w:val="1"/>
      <w:numFmt w:val="decimal"/>
      <w:lvlText w:val="%4."/>
      <w:lvlJc w:val="left"/>
      <w:pPr>
        <w:ind w:left="2874" w:hanging="360"/>
      </w:pPr>
    </w:lvl>
    <w:lvl w:ilvl="4" w:tplc="04050019" w:tentative="1">
      <w:start w:val="1"/>
      <w:numFmt w:val="lowerLetter"/>
      <w:lvlText w:val="%5."/>
      <w:lvlJc w:val="left"/>
      <w:pPr>
        <w:ind w:left="3594" w:hanging="360"/>
      </w:pPr>
    </w:lvl>
    <w:lvl w:ilvl="5" w:tplc="0405001B" w:tentative="1">
      <w:start w:val="1"/>
      <w:numFmt w:val="lowerRoman"/>
      <w:lvlText w:val="%6."/>
      <w:lvlJc w:val="right"/>
      <w:pPr>
        <w:ind w:left="4314" w:hanging="180"/>
      </w:pPr>
    </w:lvl>
    <w:lvl w:ilvl="6" w:tplc="0405000F" w:tentative="1">
      <w:start w:val="1"/>
      <w:numFmt w:val="decimal"/>
      <w:lvlText w:val="%7."/>
      <w:lvlJc w:val="left"/>
      <w:pPr>
        <w:ind w:left="5034" w:hanging="360"/>
      </w:pPr>
    </w:lvl>
    <w:lvl w:ilvl="7" w:tplc="04050019" w:tentative="1">
      <w:start w:val="1"/>
      <w:numFmt w:val="lowerLetter"/>
      <w:lvlText w:val="%8."/>
      <w:lvlJc w:val="left"/>
      <w:pPr>
        <w:ind w:left="5754" w:hanging="360"/>
      </w:pPr>
    </w:lvl>
    <w:lvl w:ilvl="8" w:tplc="0405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" w15:restartNumberingAfterBreak="0">
    <w:nsid w:val="542E202F"/>
    <w:multiLevelType w:val="hybridMultilevel"/>
    <w:tmpl w:val="B1382F80"/>
    <w:lvl w:ilvl="0" w:tplc="9CC0ED3C">
      <w:start w:val="1"/>
      <w:numFmt w:val="decimal"/>
      <w:pStyle w:val="Reference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A1D24"/>
    <w:multiLevelType w:val="hybridMultilevel"/>
    <w:tmpl w:val="4D3A1A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552926">
    <w:abstractNumId w:val="0"/>
  </w:num>
  <w:num w:numId="2" w16cid:durableId="384111558">
    <w:abstractNumId w:val="0"/>
  </w:num>
  <w:num w:numId="3" w16cid:durableId="475533062">
    <w:abstractNumId w:val="0"/>
  </w:num>
  <w:num w:numId="4" w16cid:durableId="1000961698">
    <w:abstractNumId w:val="2"/>
  </w:num>
  <w:num w:numId="5" w16cid:durableId="1186871170">
    <w:abstractNumId w:val="5"/>
  </w:num>
  <w:num w:numId="6" w16cid:durableId="919564059">
    <w:abstractNumId w:val="1"/>
  </w:num>
  <w:num w:numId="7" w16cid:durableId="1180972109">
    <w:abstractNumId w:val="3"/>
  </w:num>
  <w:num w:numId="8" w16cid:durableId="940450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A"/>
    <w:rsid w:val="00007E4D"/>
    <w:rsid w:val="00007F2C"/>
    <w:rsid w:val="00016A8E"/>
    <w:rsid w:val="0002259A"/>
    <w:rsid w:val="000244FA"/>
    <w:rsid w:val="0004133A"/>
    <w:rsid w:val="00071177"/>
    <w:rsid w:val="0007489D"/>
    <w:rsid w:val="00076C0C"/>
    <w:rsid w:val="0008327F"/>
    <w:rsid w:val="00085669"/>
    <w:rsid w:val="00092747"/>
    <w:rsid w:val="00093611"/>
    <w:rsid w:val="0009777A"/>
    <w:rsid w:val="000A2883"/>
    <w:rsid w:val="000B3122"/>
    <w:rsid w:val="000B3F65"/>
    <w:rsid w:val="000D1D97"/>
    <w:rsid w:val="000E639B"/>
    <w:rsid w:val="000F0CBE"/>
    <w:rsid w:val="000F337C"/>
    <w:rsid w:val="000F4C01"/>
    <w:rsid w:val="0010269B"/>
    <w:rsid w:val="0012443B"/>
    <w:rsid w:val="00125FFA"/>
    <w:rsid w:val="00132DE7"/>
    <w:rsid w:val="00132FF7"/>
    <w:rsid w:val="001362EA"/>
    <w:rsid w:val="00145753"/>
    <w:rsid w:val="001469CC"/>
    <w:rsid w:val="00163297"/>
    <w:rsid w:val="00183159"/>
    <w:rsid w:val="001A3B55"/>
    <w:rsid w:val="001A76C2"/>
    <w:rsid w:val="001D1D3C"/>
    <w:rsid w:val="001D7355"/>
    <w:rsid w:val="001E35E2"/>
    <w:rsid w:val="001E3AA7"/>
    <w:rsid w:val="001E76D6"/>
    <w:rsid w:val="001F04FF"/>
    <w:rsid w:val="00204F16"/>
    <w:rsid w:val="00205081"/>
    <w:rsid w:val="0020785A"/>
    <w:rsid w:val="00211666"/>
    <w:rsid w:val="0021575C"/>
    <w:rsid w:val="0023144C"/>
    <w:rsid w:val="00234FEA"/>
    <w:rsid w:val="002428D8"/>
    <w:rsid w:val="00244E5B"/>
    <w:rsid w:val="00250A38"/>
    <w:rsid w:val="00265982"/>
    <w:rsid w:val="002669DD"/>
    <w:rsid w:val="002738C8"/>
    <w:rsid w:val="00274DA4"/>
    <w:rsid w:val="00277071"/>
    <w:rsid w:val="0029038F"/>
    <w:rsid w:val="002A41CE"/>
    <w:rsid w:val="002A56A1"/>
    <w:rsid w:val="002B1813"/>
    <w:rsid w:val="002B36EA"/>
    <w:rsid w:val="002B4819"/>
    <w:rsid w:val="002C0167"/>
    <w:rsid w:val="002C7FC9"/>
    <w:rsid w:val="002E5266"/>
    <w:rsid w:val="002E5A87"/>
    <w:rsid w:val="002E5BA8"/>
    <w:rsid w:val="002F41B2"/>
    <w:rsid w:val="003136E3"/>
    <w:rsid w:val="00315D40"/>
    <w:rsid w:val="003175EA"/>
    <w:rsid w:val="003211A8"/>
    <w:rsid w:val="00324F82"/>
    <w:rsid w:val="003252B3"/>
    <w:rsid w:val="00332F9D"/>
    <w:rsid w:val="003359E5"/>
    <w:rsid w:val="00346B8E"/>
    <w:rsid w:val="00354465"/>
    <w:rsid w:val="003636E9"/>
    <w:rsid w:val="003755E2"/>
    <w:rsid w:val="00382BC5"/>
    <w:rsid w:val="003978DE"/>
    <w:rsid w:val="003A276F"/>
    <w:rsid w:val="003B154A"/>
    <w:rsid w:val="003C0A3A"/>
    <w:rsid w:val="003D3765"/>
    <w:rsid w:val="003D787F"/>
    <w:rsid w:val="003E36E8"/>
    <w:rsid w:val="003F4BEE"/>
    <w:rsid w:val="00412173"/>
    <w:rsid w:val="00414662"/>
    <w:rsid w:val="004259C7"/>
    <w:rsid w:val="004372A3"/>
    <w:rsid w:val="004524C6"/>
    <w:rsid w:val="00453363"/>
    <w:rsid w:val="00456D2B"/>
    <w:rsid w:val="0046231A"/>
    <w:rsid w:val="00464E2F"/>
    <w:rsid w:val="00467661"/>
    <w:rsid w:val="004706A6"/>
    <w:rsid w:val="00484783"/>
    <w:rsid w:val="00491400"/>
    <w:rsid w:val="004A279A"/>
    <w:rsid w:val="004C3B6C"/>
    <w:rsid w:val="004D5895"/>
    <w:rsid w:val="004E6F6D"/>
    <w:rsid w:val="004F55E6"/>
    <w:rsid w:val="004F6CBD"/>
    <w:rsid w:val="00500829"/>
    <w:rsid w:val="00504B5F"/>
    <w:rsid w:val="00504C81"/>
    <w:rsid w:val="00505189"/>
    <w:rsid w:val="0052577D"/>
    <w:rsid w:val="00532FC5"/>
    <w:rsid w:val="00534EA7"/>
    <w:rsid w:val="005353BD"/>
    <w:rsid w:val="00535A27"/>
    <w:rsid w:val="005655E4"/>
    <w:rsid w:val="00577689"/>
    <w:rsid w:val="00582D3C"/>
    <w:rsid w:val="00583208"/>
    <w:rsid w:val="00585F03"/>
    <w:rsid w:val="005861D4"/>
    <w:rsid w:val="005872E8"/>
    <w:rsid w:val="0059066D"/>
    <w:rsid w:val="0059248E"/>
    <w:rsid w:val="005A0CE8"/>
    <w:rsid w:val="005A17C4"/>
    <w:rsid w:val="005B1598"/>
    <w:rsid w:val="005C6DD6"/>
    <w:rsid w:val="005D26BE"/>
    <w:rsid w:val="005D36E7"/>
    <w:rsid w:val="006111FF"/>
    <w:rsid w:val="00617670"/>
    <w:rsid w:val="006179A1"/>
    <w:rsid w:val="006200D8"/>
    <w:rsid w:val="00620977"/>
    <w:rsid w:val="00634E3B"/>
    <w:rsid w:val="00690DC5"/>
    <w:rsid w:val="0069173A"/>
    <w:rsid w:val="0069174E"/>
    <w:rsid w:val="006A09AC"/>
    <w:rsid w:val="006A68CB"/>
    <w:rsid w:val="006B7203"/>
    <w:rsid w:val="006C66A5"/>
    <w:rsid w:val="006E0436"/>
    <w:rsid w:val="00703A6C"/>
    <w:rsid w:val="00721452"/>
    <w:rsid w:val="00722AB7"/>
    <w:rsid w:val="00724FBB"/>
    <w:rsid w:val="00727F04"/>
    <w:rsid w:val="00742282"/>
    <w:rsid w:val="00761465"/>
    <w:rsid w:val="007640EB"/>
    <w:rsid w:val="00764497"/>
    <w:rsid w:val="00764EDC"/>
    <w:rsid w:val="007668E4"/>
    <w:rsid w:val="00772CC9"/>
    <w:rsid w:val="00784F21"/>
    <w:rsid w:val="0079227F"/>
    <w:rsid w:val="0079525E"/>
    <w:rsid w:val="00796CEC"/>
    <w:rsid w:val="007A1E7E"/>
    <w:rsid w:val="007A7555"/>
    <w:rsid w:val="007A7B73"/>
    <w:rsid w:val="007B3FB6"/>
    <w:rsid w:val="007C32C6"/>
    <w:rsid w:val="007D02CC"/>
    <w:rsid w:val="007D7FCD"/>
    <w:rsid w:val="007E31FD"/>
    <w:rsid w:val="007F23C1"/>
    <w:rsid w:val="007F3827"/>
    <w:rsid w:val="007F7C07"/>
    <w:rsid w:val="00806CAA"/>
    <w:rsid w:val="008253C2"/>
    <w:rsid w:val="00830D27"/>
    <w:rsid w:val="00831129"/>
    <w:rsid w:val="0083235C"/>
    <w:rsid w:val="008357FE"/>
    <w:rsid w:val="00856F62"/>
    <w:rsid w:val="00860057"/>
    <w:rsid w:val="0086340F"/>
    <w:rsid w:val="008729C2"/>
    <w:rsid w:val="00874B07"/>
    <w:rsid w:val="00890FF6"/>
    <w:rsid w:val="008942D4"/>
    <w:rsid w:val="008A0AB3"/>
    <w:rsid w:val="008A7FE2"/>
    <w:rsid w:val="008C536A"/>
    <w:rsid w:val="008C6EC6"/>
    <w:rsid w:val="008D3E1C"/>
    <w:rsid w:val="008E5401"/>
    <w:rsid w:val="008F6619"/>
    <w:rsid w:val="00911567"/>
    <w:rsid w:val="009168F1"/>
    <w:rsid w:val="00921786"/>
    <w:rsid w:val="00922C15"/>
    <w:rsid w:val="009268B5"/>
    <w:rsid w:val="00934892"/>
    <w:rsid w:val="00936BED"/>
    <w:rsid w:val="009409FA"/>
    <w:rsid w:val="009432B8"/>
    <w:rsid w:val="009436C8"/>
    <w:rsid w:val="00946D0B"/>
    <w:rsid w:val="00950FE1"/>
    <w:rsid w:val="0095381A"/>
    <w:rsid w:val="0096231F"/>
    <w:rsid w:val="009719C5"/>
    <w:rsid w:val="00973F5F"/>
    <w:rsid w:val="0097457B"/>
    <w:rsid w:val="00983A9C"/>
    <w:rsid w:val="00984848"/>
    <w:rsid w:val="00990A69"/>
    <w:rsid w:val="0099109A"/>
    <w:rsid w:val="009B00F8"/>
    <w:rsid w:val="009B3781"/>
    <w:rsid w:val="009B3FAC"/>
    <w:rsid w:val="009B56CA"/>
    <w:rsid w:val="009B6923"/>
    <w:rsid w:val="009D039E"/>
    <w:rsid w:val="009D3514"/>
    <w:rsid w:val="009E583B"/>
    <w:rsid w:val="009E6E77"/>
    <w:rsid w:val="009F43CB"/>
    <w:rsid w:val="00A03BD3"/>
    <w:rsid w:val="00A174F6"/>
    <w:rsid w:val="00A320DB"/>
    <w:rsid w:val="00A432EC"/>
    <w:rsid w:val="00A62080"/>
    <w:rsid w:val="00A65119"/>
    <w:rsid w:val="00A770DD"/>
    <w:rsid w:val="00A93B2C"/>
    <w:rsid w:val="00AA2155"/>
    <w:rsid w:val="00AA545B"/>
    <w:rsid w:val="00AB2486"/>
    <w:rsid w:val="00AB5B0D"/>
    <w:rsid w:val="00AE4B45"/>
    <w:rsid w:val="00AE70E1"/>
    <w:rsid w:val="00AF4EB0"/>
    <w:rsid w:val="00B11F93"/>
    <w:rsid w:val="00B329CC"/>
    <w:rsid w:val="00B441D7"/>
    <w:rsid w:val="00B45571"/>
    <w:rsid w:val="00B50A6C"/>
    <w:rsid w:val="00B55DFA"/>
    <w:rsid w:val="00B90E68"/>
    <w:rsid w:val="00B9389A"/>
    <w:rsid w:val="00BB2EA0"/>
    <w:rsid w:val="00BD1C56"/>
    <w:rsid w:val="00BD1ED8"/>
    <w:rsid w:val="00BD674B"/>
    <w:rsid w:val="00BE2A98"/>
    <w:rsid w:val="00BE38B4"/>
    <w:rsid w:val="00BF5169"/>
    <w:rsid w:val="00BF6941"/>
    <w:rsid w:val="00BF6D55"/>
    <w:rsid w:val="00C05F82"/>
    <w:rsid w:val="00C30E6B"/>
    <w:rsid w:val="00C31058"/>
    <w:rsid w:val="00C43FB6"/>
    <w:rsid w:val="00C53D02"/>
    <w:rsid w:val="00C5537A"/>
    <w:rsid w:val="00C7198D"/>
    <w:rsid w:val="00C75462"/>
    <w:rsid w:val="00C768F3"/>
    <w:rsid w:val="00C85F75"/>
    <w:rsid w:val="00C873D2"/>
    <w:rsid w:val="00C95A0E"/>
    <w:rsid w:val="00CA2DD4"/>
    <w:rsid w:val="00CA5BCF"/>
    <w:rsid w:val="00CA7BDE"/>
    <w:rsid w:val="00CB2771"/>
    <w:rsid w:val="00CB797C"/>
    <w:rsid w:val="00CE17F3"/>
    <w:rsid w:val="00CE390A"/>
    <w:rsid w:val="00CF39D8"/>
    <w:rsid w:val="00CF7741"/>
    <w:rsid w:val="00D00C32"/>
    <w:rsid w:val="00D17629"/>
    <w:rsid w:val="00D33D04"/>
    <w:rsid w:val="00D358C0"/>
    <w:rsid w:val="00D37D60"/>
    <w:rsid w:val="00D445E0"/>
    <w:rsid w:val="00D4634B"/>
    <w:rsid w:val="00D4721E"/>
    <w:rsid w:val="00D54E2A"/>
    <w:rsid w:val="00D704B3"/>
    <w:rsid w:val="00D800A6"/>
    <w:rsid w:val="00D80B02"/>
    <w:rsid w:val="00D81C47"/>
    <w:rsid w:val="00DA532F"/>
    <w:rsid w:val="00DB64C9"/>
    <w:rsid w:val="00DD63B0"/>
    <w:rsid w:val="00DE0CD0"/>
    <w:rsid w:val="00E05757"/>
    <w:rsid w:val="00E152E9"/>
    <w:rsid w:val="00E238B7"/>
    <w:rsid w:val="00E26289"/>
    <w:rsid w:val="00E266F3"/>
    <w:rsid w:val="00E306D2"/>
    <w:rsid w:val="00E31E0C"/>
    <w:rsid w:val="00E42826"/>
    <w:rsid w:val="00E64EBE"/>
    <w:rsid w:val="00E83735"/>
    <w:rsid w:val="00E83A8A"/>
    <w:rsid w:val="00E86F32"/>
    <w:rsid w:val="00E87305"/>
    <w:rsid w:val="00E93230"/>
    <w:rsid w:val="00E94015"/>
    <w:rsid w:val="00EA4B3A"/>
    <w:rsid w:val="00EC53D2"/>
    <w:rsid w:val="00ED1FB4"/>
    <w:rsid w:val="00EE15F7"/>
    <w:rsid w:val="00EE2844"/>
    <w:rsid w:val="00EE4C3A"/>
    <w:rsid w:val="00EF1419"/>
    <w:rsid w:val="00EF59F7"/>
    <w:rsid w:val="00F00168"/>
    <w:rsid w:val="00F02643"/>
    <w:rsid w:val="00F11FA9"/>
    <w:rsid w:val="00F171B8"/>
    <w:rsid w:val="00F22F16"/>
    <w:rsid w:val="00F22F63"/>
    <w:rsid w:val="00F33342"/>
    <w:rsid w:val="00F40673"/>
    <w:rsid w:val="00F51003"/>
    <w:rsid w:val="00F51C2F"/>
    <w:rsid w:val="00F53EB4"/>
    <w:rsid w:val="00F6625D"/>
    <w:rsid w:val="00F720C5"/>
    <w:rsid w:val="00F72878"/>
    <w:rsid w:val="00F74F2E"/>
    <w:rsid w:val="00F77E2C"/>
    <w:rsid w:val="00F87129"/>
    <w:rsid w:val="00F91CB0"/>
    <w:rsid w:val="00FC31FA"/>
    <w:rsid w:val="00FD0F3E"/>
    <w:rsid w:val="00FD40A1"/>
    <w:rsid w:val="00FF4268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FAD6"/>
  <w15:docId w15:val="{04F3F2B0-2B6C-4024-915A-2E8F2CDA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cs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5" w:unhideWhenUsed="1"/>
    <w:lsdException w:name="heading 5" w:semiHidden="1" w:uiPriority="7" w:unhideWhenUsed="1"/>
    <w:lsdException w:name="heading 6" w:semiHidden="1" w:uiPriority="7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95A0E"/>
    <w:pPr>
      <w:widowControl w:val="0"/>
      <w:suppressAutoHyphens/>
    </w:pPr>
    <w:rPr>
      <w:rFonts w:cs="Mangal"/>
      <w:kern w:val="1"/>
      <w:sz w:val="24"/>
      <w:szCs w:val="24"/>
      <w:lang w:eastAsia="hi-IN" w:bidi="hi-IN"/>
    </w:rPr>
  </w:style>
  <w:style w:type="paragraph" w:styleId="Nadpis1">
    <w:name w:val="heading 1"/>
    <w:basedOn w:val="Normln"/>
    <w:next w:val="Zkladntext"/>
    <w:link w:val="Nadpis1Char"/>
    <w:rsid w:val="00C95A0E"/>
    <w:pPr>
      <w:keepNext/>
      <w:numPr>
        <w:numId w:val="3"/>
      </w:numPr>
      <w:spacing w:line="360" w:lineRule="auto"/>
      <w:outlineLvl w:val="0"/>
    </w:pPr>
    <w:rPr>
      <w:rFonts w:eastAsia="Microsoft YaHei" w:cs="Times New Roman"/>
      <w:b/>
      <w:bCs/>
      <w:sz w:val="44"/>
      <w:szCs w:val="44"/>
    </w:rPr>
  </w:style>
  <w:style w:type="paragraph" w:styleId="Nadpis2">
    <w:name w:val="heading 2"/>
    <w:basedOn w:val="Normln"/>
    <w:next w:val="Zkladntext"/>
    <w:link w:val="Nadpis2Char"/>
    <w:rsid w:val="00C95A0E"/>
    <w:pPr>
      <w:keepNext/>
      <w:numPr>
        <w:ilvl w:val="1"/>
        <w:numId w:val="3"/>
      </w:numPr>
      <w:spacing w:line="360" w:lineRule="auto"/>
      <w:outlineLvl w:val="1"/>
    </w:pPr>
    <w:rPr>
      <w:rFonts w:ascii="Arial" w:eastAsia="Microsoft YaHei" w:hAnsi="Arial"/>
      <w:b/>
      <w:bCs/>
      <w:iCs/>
      <w:sz w:val="36"/>
      <w:szCs w:val="36"/>
    </w:rPr>
  </w:style>
  <w:style w:type="paragraph" w:styleId="Nadpis3">
    <w:name w:val="heading 3"/>
    <w:basedOn w:val="Normln"/>
    <w:next w:val="Zkladntext"/>
    <w:link w:val="Nadpis3Char"/>
    <w:rsid w:val="00C95A0E"/>
    <w:pPr>
      <w:keepNext/>
      <w:numPr>
        <w:ilvl w:val="2"/>
        <w:numId w:val="3"/>
      </w:numPr>
      <w:spacing w:line="360" w:lineRule="auto"/>
      <w:outlineLvl w:val="2"/>
    </w:pPr>
    <w:rPr>
      <w:rFonts w:eastAsia="Microsoft YaHei" w:cs="Times New Roman"/>
      <w:b/>
      <w:bCs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5"/>
    <w:rsid w:val="00C95A0E"/>
    <w:pPr>
      <w:keepNext/>
      <w:spacing w:before="240" w:after="60"/>
      <w:outlineLvl w:val="3"/>
    </w:pPr>
    <w:rPr>
      <w:rFonts w:eastAsiaTheme="minorEastAsia" w:cs="Times New Roman"/>
      <w:b/>
      <w:bCs/>
      <w:sz w:val="28"/>
      <w:szCs w:val="25"/>
    </w:rPr>
  </w:style>
  <w:style w:type="paragraph" w:styleId="Nadpis5">
    <w:name w:val="heading 5"/>
    <w:basedOn w:val="Normln"/>
    <w:next w:val="Normln"/>
    <w:link w:val="Nadpis5Char"/>
    <w:uiPriority w:val="7"/>
    <w:rsid w:val="00C95A0E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paragraph" w:styleId="Nadpis6">
    <w:name w:val="heading 6"/>
    <w:basedOn w:val="Normln"/>
    <w:next w:val="Normln"/>
    <w:link w:val="Nadpis6Char"/>
    <w:uiPriority w:val="7"/>
    <w:rsid w:val="00C95A0E"/>
    <w:p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C95A0E"/>
    <w:pPr>
      <w:spacing w:before="240" w:after="60"/>
      <w:outlineLvl w:val="6"/>
    </w:pPr>
    <w:rPr>
      <w:rFonts w:asciiTheme="minorHAnsi" w:eastAsiaTheme="minorEastAsia" w:hAnsiTheme="minorHAnsi"/>
      <w:szCs w:val="21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95A0E"/>
    <w:pPr>
      <w:spacing w:before="240" w:after="60"/>
      <w:outlineLvl w:val="7"/>
    </w:pPr>
    <w:rPr>
      <w:rFonts w:asciiTheme="minorHAnsi" w:eastAsiaTheme="minorEastAsia" w:hAnsiTheme="minorHAnsi"/>
      <w:i/>
      <w:iCs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95A0E"/>
    <w:pPr>
      <w:spacing w:before="240" w:after="60"/>
      <w:outlineLvl w:val="8"/>
    </w:pPr>
    <w:rPr>
      <w:rFonts w:asciiTheme="majorHAnsi" w:eastAsiaTheme="majorEastAsia" w:hAnsiTheme="majorHAnsi"/>
      <w:sz w:val="22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C95A0E"/>
    <w:rPr>
      <w:rFonts w:eastAsia="Microsoft YaHei"/>
      <w:b/>
      <w:bCs/>
      <w:kern w:val="1"/>
      <w:sz w:val="44"/>
      <w:szCs w:val="44"/>
      <w:lang w:eastAsia="hi-IN" w:bidi="hi-IN"/>
    </w:rPr>
  </w:style>
  <w:style w:type="paragraph" w:styleId="Zkladntext">
    <w:name w:val="Body Text"/>
    <w:basedOn w:val="Normln"/>
    <w:link w:val="ZkladntextChar"/>
    <w:uiPriority w:val="1"/>
    <w:unhideWhenUsed/>
    <w:rsid w:val="00C95A0E"/>
    <w:pPr>
      <w:spacing w:after="120"/>
    </w:pPr>
    <w:rPr>
      <w:szCs w:val="21"/>
    </w:r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C95A0E"/>
    <w:rPr>
      <w:rFonts w:cs="Mangal"/>
      <w:kern w:val="1"/>
      <w:sz w:val="24"/>
      <w:szCs w:val="21"/>
      <w:lang w:eastAsia="hi-IN" w:bidi="hi-IN"/>
    </w:rPr>
  </w:style>
  <w:style w:type="character" w:customStyle="1" w:styleId="Nadpis2Char">
    <w:name w:val="Nadpis 2 Char"/>
    <w:basedOn w:val="Standardnpsmoodstavce"/>
    <w:link w:val="Nadpis2"/>
    <w:rsid w:val="00C95A0E"/>
    <w:rPr>
      <w:rFonts w:ascii="Arial" w:eastAsia="Microsoft YaHei" w:hAnsi="Arial" w:cs="Mangal"/>
      <w:b/>
      <w:bCs/>
      <w:iCs/>
      <w:kern w:val="1"/>
      <w:sz w:val="36"/>
      <w:szCs w:val="36"/>
      <w:lang w:eastAsia="hi-IN" w:bidi="hi-IN"/>
    </w:rPr>
  </w:style>
  <w:style w:type="character" w:customStyle="1" w:styleId="Nadpis3Char">
    <w:name w:val="Nadpis 3 Char"/>
    <w:basedOn w:val="Standardnpsmoodstavce"/>
    <w:link w:val="Nadpis3"/>
    <w:rsid w:val="00C95A0E"/>
    <w:rPr>
      <w:rFonts w:eastAsia="Microsoft YaHei"/>
      <w:b/>
      <w:bCs/>
      <w:kern w:val="1"/>
      <w:sz w:val="32"/>
      <w:szCs w:val="32"/>
      <w:lang w:eastAsia="hi-IN" w:bidi="hi-IN"/>
    </w:rPr>
  </w:style>
  <w:style w:type="character" w:customStyle="1" w:styleId="Nadpis4Char">
    <w:name w:val="Nadpis 4 Char"/>
    <w:basedOn w:val="Standardnpsmoodstavce"/>
    <w:link w:val="Nadpis4"/>
    <w:uiPriority w:val="5"/>
    <w:rsid w:val="00C95A0E"/>
    <w:rPr>
      <w:rFonts w:eastAsiaTheme="minorEastAsia"/>
      <w:b/>
      <w:bCs/>
      <w:kern w:val="1"/>
      <w:sz w:val="28"/>
      <w:szCs w:val="25"/>
      <w:lang w:eastAsia="hi-IN" w:bidi="hi-IN"/>
    </w:rPr>
  </w:style>
  <w:style w:type="character" w:customStyle="1" w:styleId="Nadpis5Char">
    <w:name w:val="Nadpis 5 Char"/>
    <w:basedOn w:val="Standardnpsmoodstavce"/>
    <w:link w:val="Nadpis5"/>
    <w:uiPriority w:val="7"/>
    <w:rsid w:val="00C95A0E"/>
    <w:rPr>
      <w:rFonts w:asciiTheme="minorHAnsi" w:eastAsiaTheme="minorEastAsia" w:hAnsiTheme="minorHAnsi" w:cs="Mangal"/>
      <w:b/>
      <w:bCs/>
      <w:i/>
      <w:iCs/>
      <w:kern w:val="1"/>
      <w:sz w:val="26"/>
      <w:szCs w:val="23"/>
      <w:lang w:eastAsia="hi-IN" w:bidi="hi-IN"/>
    </w:rPr>
  </w:style>
  <w:style w:type="character" w:customStyle="1" w:styleId="Nadpis6Char">
    <w:name w:val="Nadpis 6 Char"/>
    <w:basedOn w:val="Standardnpsmoodstavce"/>
    <w:link w:val="Nadpis6"/>
    <w:uiPriority w:val="7"/>
    <w:rsid w:val="00C95A0E"/>
    <w:rPr>
      <w:rFonts w:asciiTheme="minorHAnsi" w:eastAsiaTheme="minorEastAsia" w:hAnsiTheme="minorHAnsi" w:cs="Mangal"/>
      <w:b/>
      <w:bCs/>
      <w:kern w:val="1"/>
      <w:sz w:val="22"/>
      <w:lang w:eastAsia="hi-IN" w:bidi="hi-IN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95A0E"/>
    <w:rPr>
      <w:rFonts w:asciiTheme="minorHAnsi" w:eastAsiaTheme="minorEastAsia" w:hAnsiTheme="minorHAnsi" w:cs="Mangal"/>
      <w:kern w:val="1"/>
      <w:sz w:val="24"/>
      <w:szCs w:val="21"/>
      <w:lang w:eastAsia="hi-IN" w:bidi="hi-IN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95A0E"/>
    <w:rPr>
      <w:rFonts w:asciiTheme="minorHAnsi" w:eastAsiaTheme="minorEastAsia" w:hAnsiTheme="minorHAnsi" w:cs="Mangal"/>
      <w:i/>
      <w:iCs/>
      <w:kern w:val="1"/>
      <w:sz w:val="24"/>
      <w:szCs w:val="21"/>
      <w:lang w:eastAsia="hi-IN" w:bidi="hi-IN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95A0E"/>
    <w:rPr>
      <w:rFonts w:asciiTheme="majorHAnsi" w:eastAsiaTheme="majorEastAsia" w:hAnsiTheme="majorHAnsi" w:cs="Mangal"/>
      <w:kern w:val="1"/>
      <w:sz w:val="22"/>
      <w:lang w:eastAsia="hi-IN" w:bidi="hi-IN"/>
    </w:rPr>
  </w:style>
  <w:style w:type="paragraph" w:styleId="Titulek">
    <w:name w:val="caption"/>
    <w:basedOn w:val="Normln"/>
    <w:next w:val="Normln"/>
    <w:uiPriority w:val="35"/>
    <w:unhideWhenUsed/>
    <w:qFormat/>
    <w:rsid w:val="00C95A0E"/>
    <w:rPr>
      <w:b/>
      <w:b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rsid w:val="00C95A0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29"/>
    </w:rPr>
  </w:style>
  <w:style w:type="character" w:customStyle="1" w:styleId="NzevChar">
    <w:name w:val="Název Char"/>
    <w:basedOn w:val="Standardnpsmoodstavce"/>
    <w:link w:val="Nzev"/>
    <w:uiPriority w:val="10"/>
    <w:rsid w:val="00C95A0E"/>
    <w:rPr>
      <w:rFonts w:asciiTheme="majorHAnsi" w:eastAsiaTheme="majorEastAsia" w:hAnsiTheme="majorHAnsi" w:cs="Mangal"/>
      <w:b/>
      <w:bCs/>
      <w:kern w:val="28"/>
      <w:sz w:val="32"/>
      <w:szCs w:val="29"/>
      <w:lang w:eastAsia="hi-IN" w:bidi="hi-IN"/>
    </w:rPr>
  </w:style>
  <w:style w:type="paragraph" w:styleId="Podnadpis">
    <w:name w:val="Subtitle"/>
    <w:basedOn w:val="Normln"/>
    <w:next w:val="Normln"/>
    <w:link w:val="PodnadpisChar"/>
    <w:uiPriority w:val="11"/>
    <w:rsid w:val="00C95A0E"/>
    <w:pPr>
      <w:spacing w:after="60"/>
      <w:jc w:val="center"/>
      <w:outlineLvl w:val="1"/>
    </w:pPr>
    <w:rPr>
      <w:rFonts w:asciiTheme="majorHAnsi" w:eastAsiaTheme="majorEastAsia" w:hAnsiTheme="majorHAnsi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C95A0E"/>
    <w:rPr>
      <w:rFonts w:asciiTheme="majorHAnsi" w:eastAsiaTheme="majorEastAsia" w:hAnsiTheme="majorHAnsi" w:cs="Mangal"/>
      <w:kern w:val="1"/>
      <w:sz w:val="24"/>
      <w:szCs w:val="21"/>
      <w:lang w:eastAsia="hi-IN" w:bidi="hi-IN"/>
    </w:rPr>
  </w:style>
  <w:style w:type="character" w:styleId="Siln">
    <w:name w:val="Strong"/>
    <w:uiPriority w:val="22"/>
    <w:rsid w:val="00C95A0E"/>
    <w:rPr>
      <w:b/>
      <w:bCs/>
    </w:rPr>
  </w:style>
  <w:style w:type="character" w:styleId="Zdraznn">
    <w:name w:val="Emphasis"/>
    <w:uiPriority w:val="20"/>
    <w:rsid w:val="00C95A0E"/>
    <w:rPr>
      <w:i/>
      <w:iCs/>
    </w:rPr>
  </w:style>
  <w:style w:type="paragraph" w:styleId="Bezmezer">
    <w:name w:val="No Spacing"/>
    <w:basedOn w:val="Normln"/>
    <w:link w:val="BezmezerChar"/>
    <w:uiPriority w:val="1"/>
    <w:qFormat/>
    <w:rsid w:val="00C95A0E"/>
    <w:rPr>
      <w:szCs w:val="21"/>
    </w:rPr>
  </w:style>
  <w:style w:type="paragraph" w:styleId="Odstavecseseznamem">
    <w:name w:val="List Paragraph"/>
    <w:basedOn w:val="Normln"/>
    <w:uiPriority w:val="34"/>
    <w:rsid w:val="00C95A0E"/>
    <w:pPr>
      <w:ind w:left="708"/>
    </w:pPr>
    <w:rPr>
      <w:szCs w:val="21"/>
    </w:rPr>
  </w:style>
  <w:style w:type="paragraph" w:styleId="Citt">
    <w:name w:val="Quote"/>
    <w:basedOn w:val="Normln"/>
    <w:next w:val="Normln"/>
    <w:link w:val="CittChar"/>
    <w:uiPriority w:val="29"/>
    <w:rsid w:val="00C95A0E"/>
    <w:rPr>
      <w:i/>
      <w:iCs/>
      <w:color w:val="000000" w:themeColor="text1"/>
      <w:szCs w:val="21"/>
    </w:rPr>
  </w:style>
  <w:style w:type="character" w:customStyle="1" w:styleId="CittChar">
    <w:name w:val="Citát Char"/>
    <w:basedOn w:val="Standardnpsmoodstavce"/>
    <w:link w:val="Citt"/>
    <w:uiPriority w:val="29"/>
    <w:rsid w:val="00C95A0E"/>
    <w:rPr>
      <w:rFonts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Vrazncitt">
    <w:name w:val="Intense Quote"/>
    <w:basedOn w:val="Normln"/>
    <w:next w:val="Normln"/>
    <w:link w:val="VrazncittChar"/>
    <w:uiPriority w:val="30"/>
    <w:rsid w:val="00C95A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95A0E"/>
    <w:rPr>
      <w:rFonts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styleId="Zdraznnjemn">
    <w:name w:val="Subtle Emphasis"/>
    <w:uiPriority w:val="19"/>
    <w:rsid w:val="00C95A0E"/>
    <w:rPr>
      <w:i/>
      <w:iCs/>
      <w:color w:val="808080" w:themeColor="text1" w:themeTint="7F"/>
    </w:rPr>
  </w:style>
  <w:style w:type="character" w:styleId="Zdraznnintenzivn">
    <w:name w:val="Intense Emphasis"/>
    <w:uiPriority w:val="21"/>
    <w:rsid w:val="00C95A0E"/>
    <w:rPr>
      <w:b/>
      <w:bCs/>
      <w:i/>
      <w:iCs/>
      <w:color w:val="4F81BD" w:themeColor="accent1"/>
    </w:rPr>
  </w:style>
  <w:style w:type="character" w:styleId="Odkazjemn">
    <w:name w:val="Subtle Reference"/>
    <w:uiPriority w:val="31"/>
    <w:rsid w:val="00C95A0E"/>
    <w:rPr>
      <w:smallCaps/>
      <w:color w:val="C0504D" w:themeColor="accent2"/>
      <w:u w:val="single"/>
    </w:rPr>
  </w:style>
  <w:style w:type="character" w:styleId="Odkazintenzivn">
    <w:name w:val="Intense Reference"/>
    <w:uiPriority w:val="32"/>
    <w:rsid w:val="00C95A0E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uiPriority w:val="33"/>
    <w:rsid w:val="00C95A0E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95A0E"/>
    <w:pPr>
      <w:numPr>
        <w:numId w:val="0"/>
      </w:numPr>
      <w:spacing w:after="60"/>
      <w:outlineLvl w:val="9"/>
    </w:pPr>
    <w:rPr>
      <w:rFonts w:asciiTheme="majorHAnsi" w:eastAsiaTheme="majorEastAsia" w:hAnsiTheme="majorHAnsi"/>
      <w:kern w:val="32"/>
      <w:sz w:val="32"/>
      <w:szCs w:val="29"/>
    </w:rPr>
  </w:style>
  <w:style w:type="character" w:styleId="Zstupntext">
    <w:name w:val="Placeholder Text"/>
    <w:basedOn w:val="Standardnpsmoodstavce"/>
    <w:uiPriority w:val="99"/>
    <w:semiHidden/>
    <w:rsid w:val="0059066D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9066D"/>
    <w:rPr>
      <w:rFonts w:ascii="Tahoma" w:hAnsi="Tahoma"/>
      <w:sz w:val="16"/>
      <w:szCs w:val="14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066D"/>
    <w:rPr>
      <w:rFonts w:ascii="Tahoma" w:hAnsi="Tahoma" w:cs="Mangal"/>
      <w:kern w:val="1"/>
      <w:sz w:val="16"/>
      <w:szCs w:val="14"/>
      <w:lang w:eastAsia="hi-IN" w:bidi="hi-IN"/>
    </w:rPr>
  </w:style>
  <w:style w:type="character" w:styleId="Hypertextovodkaz">
    <w:name w:val="Hyperlink"/>
    <w:basedOn w:val="Standardnpsmoodstavce"/>
    <w:uiPriority w:val="99"/>
    <w:unhideWhenUsed/>
    <w:rsid w:val="00B9389A"/>
    <w:rPr>
      <w:color w:val="0000FF" w:themeColor="hyperlink"/>
      <w:u w:val="single"/>
    </w:rPr>
  </w:style>
  <w:style w:type="paragraph" w:customStyle="1" w:styleId="Prvnodstavec">
    <w:name w:val="První odstavec"/>
    <w:basedOn w:val="Normln"/>
    <w:link w:val="PrvnodstavecChar"/>
    <w:qFormat/>
    <w:rsid w:val="003D3765"/>
    <w:pPr>
      <w:tabs>
        <w:tab w:val="left" w:pos="993"/>
      </w:tabs>
      <w:spacing w:after="120"/>
      <w:ind w:left="6" w:hanging="6"/>
      <w:jc w:val="both"/>
    </w:pPr>
    <w:rPr>
      <w:rFonts w:cs="Times New Roman"/>
    </w:rPr>
  </w:style>
  <w:style w:type="paragraph" w:customStyle="1" w:styleId="Kapitola">
    <w:name w:val="Kapitola"/>
    <w:basedOn w:val="Nadpis1"/>
    <w:link w:val="KapitolaChar"/>
    <w:qFormat/>
    <w:rsid w:val="00764497"/>
    <w:pPr>
      <w:tabs>
        <w:tab w:val="clear" w:pos="432"/>
        <w:tab w:val="left" w:pos="454"/>
      </w:tabs>
      <w:spacing w:before="480"/>
      <w:ind w:left="0" w:hanging="6"/>
    </w:pPr>
    <w:rPr>
      <w:kern w:val="44"/>
      <w:sz w:val="40"/>
      <w:szCs w:val="40"/>
    </w:rPr>
  </w:style>
  <w:style w:type="paragraph" w:customStyle="1" w:styleId="Dalodstavec">
    <w:name w:val="Další odstavec"/>
    <w:basedOn w:val="Normln"/>
    <w:link w:val="DalodstavecChar"/>
    <w:qFormat/>
    <w:rsid w:val="00CA5BCF"/>
    <w:pPr>
      <w:tabs>
        <w:tab w:val="left" w:pos="993"/>
      </w:tabs>
      <w:spacing w:after="120"/>
      <w:ind w:firstLine="454"/>
      <w:jc w:val="both"/>
    </w:pPr>
    <w:rPr>
      <w:rFonts w:cs="Times New Roman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00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zh-CN" w:bidi="ar-SA"/>
    </w:rPr>
  </w:style>
  <w:style w:type="character" w:customStyle="1" w:styleId="KapitolaChar">
    <w:name w:val="Kapitola Char"/>
    <w:basedOn w:val="Nadpis1Char"/>
    <w:link w:val="Kapitola"/>
    <w:rsid w:val="00764497"/>
    <w:rPr>
      <w:rFonts w:eastAsia="Microsoft YaHei"/>
      <w:b/>
      <w:bCs/>
      <w:kern w:val="44"/>
      <w:sz w:val="40"/>
      <w:szCs w:val="40"/>
      <w:lang w:eastAsia="hi-IN" w:bidi="hi-IN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00C32"/>
    <w:rPr>
      <w:rFonts w:ascii="Courier New" w:eastAsia="Times New Roman" w:hAnsi="Courier New" w:cs="Courier New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00C32"/>
    <w:rPr>
      <w:sz w:val="20"/>
      <w:szCs w:val="18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00C32"/>
    <w:rPr>
      <w:rFonts w:cs="Mangal"/>
      <w:kern w:val="1"/>
      <w:szCs w:val="18"/>
      <w:lang w:eastAsia="hi-IN" w:bidi="hi-IN"/>
    </w:rPr>
  </w:style>
  <w:style w:type="character" w:styleId="Znakapoznpodarou">
    <w:name w:val="footnote reference"/>
    <w:basedOn w:val="Standardnpsmoodstavce"/>
    <w:uiPriority w:val="99"/>
    <w:semiHidden/>
    <w:unhideWhenUsed/>
    <w:rsid w:val="00D00C32"/>
    <w:rPr>
      <w:vertAlign w:val="superscript"/>
    </w:rPr>
  </w:style>
  <w:style w:type="character" w:customStyle="1" w:styleId="PrvnodstavecChar">
    <w:name w:val="První odstavec Char"/>
    <w:basedOn w:val="Standardnpsmoodstavce"/>
    <w:link w:val="Prvnodstavec"/>
    <w:rsid w:val="003D3765"/>
    <w:rPr>
      <w:kern w:val="1"/>
      <w:sz w:val="24"/>
      <w:szCs w:val="24"/>
      <w:lang w:eastAsia="hi-IN" w:bidi="hi-IN"/>
    </w:rPr>
  </w:style>
  <w:style w:type="paragraph" w:customStyle="1" w:styleId="Reference">
    <w:name w:val="Reference"/>
    <w:basedOn w:val="Normln"/>
    <w:link w:val="ReferenceChar"/>
    <w:qFormat/>
    <w:rsid w:val="00922C15"/>
    <w:pPr>
      <w:widowControl/>
      <w:numPr>
        <w:numId w:val="8"/>
      </w:numPr>
      <w:suppressAutoHyphens w:val="0"/>
      <w:autoSpaceDE w:val="0"/>
      <w:autoSpaceDN w:val="0"/>
      <w:adjustRightInd w:val="0"/>
      <w:spacing w:after="120"/>
      <w:ind w:left="357" w:hanging="357"/>
    </w:pPr>
    <w:rPr>
      <w:rFonts w:cs="Times New Roman"/>
      <w:kern w:val="0"/>
      <w:lang w:eastAsia="zh-CN" w:bidi="ar-SA"/>
    </w:rPr>
  </w:style>
  <w:style w:type="character" w:customStyle="1" w:styleId="DalodstavecChar">
    <w:name w:val="Další odstavec Char"/>
    <w:basedOn w:val="Standardnpsmoodstavce"/>
    <w:link w:val="Dalodstavec"/>
    <w:rsid w:val="00CA5BCF"/>
    <w:rPr>
      <w:kern w:val="1"/>
      <w:sz w:val="24"/>
      <w:szCs w:val="24"/>
      <w:lang w:eastAsia="hi-IN" w:bidi="hi-IN"/>
    </w:rPr>
  </w:style>
  <w:style w:type="table" w:customStyle="1" w:styleId="TableNormal">
    <w:name w:val="Table Normal"/>
    <w:uiPriority w:val="2"/>
    <w:semiHidden/>
    <w:unhideWhenUsed/>
    <w:qFormat/>
    <w:rsid w:val="00CB79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21575C"/>
    <w:rPr>
      <w:rFonts w:ascii="Tahoma" w:hAnsi="Tahoma"/>
      <w:sz w:val="16"/>
      <w:szCs w:val="14"/>
    </w:rPr>
  </w:style>
  <w:style w:type="paragraph" w:customStyle="1" w:styleId="TableParagraph">
    <w:name w:val="Table Paragraph"/>
    <w:basedOn w:val="Normln"/>
    <w:uiPriority w:val="1"/>
    <w:rsid w:val="00CB797C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paragraph" w:customStyle="1" w:styleId="Abstrakt">
    <w:name w:val="Abstrakt"/>
    <w:basedOn w:val="Normln"/>
    <w:link w:val="AbstraktChar"/>
    <w:qFormat/>
    <w:rsid w:val="00D4721E"/>
    <w:pPr>
      <w:tabs>
        <w:tab w:val="left" w:pos="993"/>
      </w:tabs>
      <w:spacing w:after="120"/>
      <w:ind w:left="1077" w:right="1077"/>
      <w:jc w:val="both"/>
    </w:pPr>
    <w:rPr>
      <w:rFonts w:cs="Times New Roman"/>
      <w:color w:val="000000"/>
    </w:rPr>
  </w:style>
  <w:style w:type="character" w:customStyle="1" w:styleId="AbstraktChar">
    <w:name w:val="Abstrakt Char"/>
    <w:basedOn w:val="Standardnpsmoodstavce"/>
    <w:link w:val="Abstrakt"/>
    <w:rsid w:val="00D4721E"/>
    <w:rPr>
      <w:color w:val="000000"/>
      <w:kern w:val="1"/>
      <w:sz w:val="24"/>
      <w:szCs w:val="24"/>
      <w:lang w:eastAsia="hi-IN" w:bidi="hi-IN"/>
    </w:rPr>
  </w:style>
  <w:style w:type="character" w:customStyle="1" w:styleId="ReferenceChar">
    <w:name w:val="Reference Char"/>
    <w:basedOn w:val="Standardnpsmoodstavce"/>
    <w:link w:val="Reference"/>
    <w:rsid w:val="00922C15"/>
    <w:rPr>
      <w:sz w:val="24"/>
      <w:szCs w:val="24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21575C"/>
    <w:rPr>
      <w:rFonts w:ascii="Tahoma" w:hAnsi="Tahoma" w:cs="Mangal"/>
      <w:kern w:val="1"/>
      <w:sz w:val="16"/>
      <w:szCs w:val="14"/>
      <w:lang w:eastAsia="hi-IN" w:bidi="hi-IN"/>
    </w:rPr>
  </w:style>
  <w:style w:type="character" w:styleId="Odkaznakoment">
    <w:name w:val="annotation reference"/>
    <w:basedOn w:val="Standardnpsmoodstavce"/>
    <w:uiPriority w:val="99"/>
    <w:semiHidden/>
    <w:unhideWhenUsed/>
    <w:rsid w:val="0021575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21575C"/>
    <w:rPr>
      <w:sz w:val="20"/>
      <w:szCs w:val="18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21575C"/>
    <w:rPr>
      <w:rFonts w:cs="Mangal"/>
      <w:kern w:val="1"/>
      <w:szCs w:val="18"/>
      <w:lang w:eastAsia="hi-IN" w:bidi="hi-I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1575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1575C"/>
    <w:rPr>
      <w:rFonts w:cs="Mangal"/>
      <w:b/>
      <w:bCs/>
      <w:kern w:val="1"/>
      <w:szCs w:val="18"/>
      <w:lang w:eastAsia="hi-IN" w:bidi="hi-IN"/>
    </w:rPr>
  </w:style>
  <w:style w:type="character" w:customStyle="1" w:styleId="BezmezerChar">
    <w:name w:val="Bez mezer Char"/>
    <w:basedOn w:val="Standardnpsmoodstavce"/>
    <w:link w:val="Bezmezer"/>
    <w:uiPriority w:val="1"/>
    <w:rsid w:val="002C0167"/>
    <w:rPr>
      <w:rFonts w:cs="Mangal"/>
      <w:kern w:val="1"/>
      <w:sz w:val="24"/>
      <w:szCs w:val="21"/>
      <w:lang w:eastAsia="hi-IN" w:bidi="hi-IN"/>
    </w:rPr>
  </w:style>
  <w:style w:type="paragraph" w:styleId="Zhlav">
    <w:name w:val="header"/>
    <w:basedOn w:val="Normln"/>
    <w:link w:val="ZhlavChar"/>
    <w:uiPriority w:val="99"/>
    <w:unhideWhenUsed/>
    <w:rsid w:val="00EE4C3A"/>
    <w:pPr>
      <w:tabs>
        <w:tab w:val="center" w:pos="4536"/>
        <w:tab w:val="right" w:pos="9072"/>
      </w:tabs>
    </w:pPr>
    <w:rPr>
      <w:szCs w:val="21"/>
    </w:rPr>
  </w:style>
  <w:style w:type="character" w:customStyle="1" w:styleId="ZhlavChar">
    <w:name w:val="Záhlaví Char"/>
    <w:basedOn w:val="Standardnpsmoodstavce"/>
    <w:link w:val="Zhlav"/>
    <w:uiPriority w:val="99"/>
    <w:rsid w:val="00EE4C3A"/>
    <w:rPr>
      <w:rFonts w:cs="Mangal"/>
      <w:kern w:val="1"/>
      <w:sz w:val="24"/>
      <w:szCs w:val="21"/>
      <w:lang w:eastAsia="hi-IN" w:bidi="hi-IN"/>
    </w:rPr>
  </w:style>
  <w:style w:type="paragraph" w:styleId="Zpat">
    <w:name w:val="footer"/>
    <w:basedOn w:val="Normln"/>
    <w:link w:val="ZpatChar"/>
    <w:uiPriority w:val="99"/>
    <w:unhideWhenUsed/>
    <w:rsid w:val="00EE4C3A"/>
    <w:pPr>
      <w:tabs>
        <w:tab w:val="center" w:pos="4536"/>
        <w:tab w:val="right" w:pos="9072"/>
      </w:tabs>
    </w:pPr>
    <w:rPr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EE4C3A"/>
    <w:rPr>
      <w:rFonts w:cs="Mangal"/>
      <w:kern w:val="1"/>
      <w:sz w:val="24"/>
      <w:szCs w:val="21"/>
      <w:lang w:eastAsia="hi-IN" w:bidi="hi-IN"/>
    </w:rPr>
  </w:style>
  <w:style w:type="character" w:styleId="Nevyeenzmnka">
    <w:name w:val="Unresolved Mention"/>
    <w:basedOn w:val="Standardnpsmoodstavce"/>
    <w:uiPriority w:val="99"/>
    <w:semiHidden/>
    <w:unhideWhenUsed/>
    <w:rsid w:val="002B181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639B"/>
    <w:rPr>
      <w:color w:val="800080" w:themeColor="followedHyperlink"/>
      <w:u w:val="single"/>
    </w:rPr>
  </w:style>
  <w:style w:type="table" w:styleId="Mkatabulky">
    <w:name w:val="Table Grid"/>
    <w:basedOn w:val="Normlntabulka"/>
    <w:uiPriority w:val="59"/>
    <w:rsid w:val="0083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zvraznn4">
    <w:name w:val="Grid Table 1 Light Accent 4"/>
    <w:basedOn w:val="Normlntabulka"/>
    <w:uiPriority w:val="46"/>
    <w:rsid w:val="008357F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rosttabulka3">
    <w:name w:val="Plain Table 3"/>
    <w:basedOn w:val="Normlntabulka"/>
    <w:uiPriority w:val="43"/>
    <w:rsid w:val="008357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dadalyndell/elon-musk-tweets-2010-to-2025-marc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aii.com/sentimentsurve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rends.google.com/trends/explore?date=2010-01-06%202025-05-01&amp;geo=US&amp;q=Tesla&amp;hl=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zva\Downloads\sablo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6A8D3-4EB3-48A9-AE35-38424314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</Template>
  <TotalTime>402</TotalTime>
  <Pages>10</Pages>
  <Words>2874</Words>
  <Characters>16959</Characters>
  <Application>Microsoft Office Word</Application>
  <DocSecurity>0</DocSecurity>
  <Lines>141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Václav Jež</dc:creator>
  <cp:lastModifiedBy>Václav Jež</cp:lastModifiedBy>
  <cp:revision>277</cp:revision>
  <dcterms:created xsi:type="dcterms:W3CDTF">2025-05-22T22:32:00Z</dcterms:created>
  <dcterms:modified xsi:type="dcterms:W3CDTF">2025-05-23T15:59:00Z</dcterms:modified>
</cp:coreProperties>
</file>