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담보평가_체크리스트</w:t>
      </w:r>
    </w:p>
    <w:p>
      <w:pPr>
        <w:pStyle w:val="ListBullet"/>
      </w:pPr>
      <w:r>
        <w:t>부동산 담보는 최근 감정가와 선순위 권리, 임대차보증금을 차감해 유효담보가를 산출한다.</w:t>
      </w:r>
    </w:p>
    <w:p>
      <w:pPr>
        <w:pStyle w:val="ListBullet"/>
      </w:pPr>
      <w:r>
        <w:t>매출채권 담보는 채무자의 신용도, 양도 가능성 및 과거 회수율을 확인한다.</w:t>
      </w:r>
    </w:p>
    <w:p>
      <w:pPr>
        <w:pStyle w:val="ListBullet"/>
      </w:pPr>
      <w:r>
        <w:t>기계설비는 처분 가능성, 경제적 내용연수, 이전비용을 반영한다.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