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업종별_리스크_가이드</w:t>
      </w:r>
    </w:p>
    <w:p>
      <w:pPr>
        <w:pStyle w:val="ListBullet"/>
      </w:pPr>
      <w:r>
        <w:t>건설업은 미청구공사, 우발채무, 프로젝트 파이낸싱 보증을 중점 확인한다.</w:t>
      </w:r>
    </w:p>
    <w:p>
      <w:pPr>
        <w:pStyle w:val="ListBullet"/>
      </w:pPr>
      <w:r>
        <w:t>도소매업은 재고회전일수와 매출채권 회수기간을 확인한다.</w:t>
      </w:r>
    </w:p>
    <w:p>
      <w:pPr>
        <w:pStyle w:val="ListBullet"/>
      </w:pPr>
      <w:r>
        <w:t>IT서비스업은 고객 집중도, 반복매출 비중, 핵심 인력 의존도를 검토한다.</w:t>
      </w:r>
    </w:p>
    <w:p>
      <w:pPr>
        <w:pStyle w:val="ListBullet"/>
      </w:pPr>
      <w:r>
        <w:t>부동산업은 분양률, 담보인정비율, 금리 상승 민감도를 스트레스 테스트한다.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